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40" w:rsidRDefault="00EC1840" w:rsidP="00FE1C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FE1C8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Методичні роз’яснення щодо виконання органами місцевого самоврядування положень статті 34 Закону України «Про засади державної регуляторної політики у сфері господарської діяльності»</w:t>
      </w:r>
    </w:p>
    <w:p w:rsidR="00EC1840" w:rsidRPr="00FE1C8F" w:rsidRDefault="00EC1840" w:rsidP="00FE1C8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:rsidR="00EC1840" w:rsidRPr="00FE1C8F" w:rsidRDefault="00EC1840" w:rsidP="00FE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Особливості здійснення державної регуляторної політики органами та посадовими особами місцевого самоврядування визначені статтями 31-38 Закону.</w:t>
      </w:r>
    </w:p>
    <w:p w:rsidR="00EC1840" w:rsidRPr="00FE1C8F" w:rsidRDefault="00EC1840" w:rsidP="00FE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Згідно зі статтею 34 Закону України «Про засади державної регуляторної політики у сфері господарської діяльності» (далі – Закон) кожен проект регуляторного акта, що внесений на розгляд до сільської, селищної, міської, районної у місті, районної, обласної ради, подається відповідальною постійною комісією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політики.</w:t>
      </w:r>
    </w:p>
    <w:p w:rsidR="00EC1840" w:rsidRPr="00FE1C8F" w:rsidRDefault="00EC1840" w:rsidP="00FE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До ДРС надходять численні звернення від органів місцевого самоврядування щодо надання роз’яснень положень статті 34 Закону та механізму взаємодії органів місцевого самоврядування та ДРС в процесі розробки та прийняття проектів регуляторних актів.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З метою якісного виконання органами місцевого самоврядування вимог Закону органи місцевого самоврядування під час здійснення регуляторної діяльності повинні враховувати наступне.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Відповідно до вимог статті 34 Закону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кожен проект регуляторного акта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, що внесений на розгляд до сільської, селищної, міської, районної у місті, районної, обласної ради,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Така комісія утворюється відповідною радою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з метою реалізації покладених на неї цим Законом повноважень у здійсненні державної регуляторної політики.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За необхідності ці повноваження можуть покладатися і на одну з існуючих постійних комісій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Відповідальна постійна комісія забезпечує підготовку експертного висновку щодо регуляторного впливу внесеного проекту регуляторного акта.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Порядок та строки підготовки експертних висновків щодо регуляторного впливу проектів регуляторних актів встановлюються регламентом відповідної ради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Експертний висновок готується відповідальною постійною комісією на підставі аналізу регуляторного впливу</w:t>
      </w:r>
      <w:r w:rsidRPr="00FE1C8F">
        <w:rPr>
          <w:rFonts w:ascii="Times New Roman" w:hAnsi="Times New Roman"/>
          <w:sz w:val="28"/>
          <w:szCs w:val="28"/>
          <w:lang w:eastAsia="uk-UA"/>
        </w:rPr>
        <w:t>, яким супроводжувався проект регуляторного акта.  В експертному висновку доцільно відображати стислий аналіз впливу, який справлятиме регуляторний акт на суб’єктів господарювання, що здійснюють свою діяльність на території відповідної громади, а також підтвердження доцільності його прийняття.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Експертний висновок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щодо регуляторного впливу проекту регуляторного акта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готується відповідальною постійною комісією у довільній формі, якщо інше не передбачено регламентом відповідної ради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Згідно з вимогами статті 33 Закону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у разі внесення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на розгляд сесії ради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проекту регуляторного акта без аналізу регуляторного впливу відповідальна постійна комісія приймає рішення про направлення проекту регуляторного акта на доопрацювання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органу чи особі, яка внесла цей проект.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Проте,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за мотивованим поданням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депутата ради, постійної комісії ради, голови районної або обласної ради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відповідальна постійна комісія може прийняти рішення про забезпечення підготовки експертного висновку щодо регуляторного впливу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проекту регуляторного акта, внесеного цим депутатом ради, постійною комісією ради, головою районної або обласної ради.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У цьому разі аналіз регуляторного впливу не готується, а експертний висновок щодо регуляторного впливу готується відповідно до вимог статті 8 цього Закону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Отже,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у цьому випадку, за умови повної відповідності експертного висновку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щодо регуляторного впливу проекту регуляторного акта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вимогам, встановленим статтею 8 Закону та Методикою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проведення аналізу впливу регуляторного акта, затвердженою постановою Кабінету Міністрів України від 11.03.2004 № 308 (із змінами),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такий експертний висновок може вважатися аналізом регуляторного впливу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Однак необхідно враховувати, що у випадку підготовки експертного висновку у відповідності з вимогами, встановленими до аналізу регуляторного впливу,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такий висновок підлягає обов’язковому оприлюдненню разом з проектом регуляторного акта з метою одержання зауважень і пропозицій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від фізичних та юридичних осіб, їх об’єднань, як це передбачено статтею 9 Закону.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Після підготовки експертного висновку щодо регуляторного впливу внесеного проекту регуляторного акта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відповідальна постійна комісія забезпечує подання цього проекту та підписаного аналізу регуляторного впливу до ДРС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як уповноваженого органу для підготовки пропозицій щодо удосконалення проекту відповідно до принципів державної регуляторної політики.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Тобто, для надання пропозицій щодо удосконалення проекту відповідно до принципів державної регуляторної політики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до ДРС подаються</w:t>
      </w:r>
      <w:r w:rsidRPr="00FE1C8F">
        <w:rPr>
          <w:rFonts w:ascii="Times New Roman" w:hAnsi="Times New Roman"/>
          <w:sz w:val="28"/>
          <w:szCs w:val="28"/>
          <w:lang w:eastAsia="uk-UA"/>
        </w:rPr>
        <w:t>:</w:t>
      </w:r>
    </w:p>
    <w:p w:rsidR="00EC1840" w:rsidRPr="00FE1C8F" w:rsidRDefault="00EC1840" w:rsidP="00FE1C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повний текст проекту регуляторного акта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з усіма додатками;</w:t>
      </w:r>
    </w:p>
    <w:p w:rsidR="00EC1840" w:rsidRPr="00FE1C8F" w:rsidRDefault="00EC1840" w:rsidP="00FE1C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аналіз регуляторного впливу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до нього;</w:t>
      </w:r>
    </w:p>
    <w:p w:rsidR="00EC1840" w:rsidRPr="00FE1C8F" w:rsidRDefault="00EC1840" w:rsidP="00FE1C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експертний висновок щодо регуляторного впливу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проекту регуляторного акта.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Водночас зазначаємо, що згідно з вимогами статті 36 Закону регуляторний акт не може бути прийнятий або схвалений уповноваженим на це органом чи посадовою особою місцевого самоврядування, якщо наявна хоча б одна з таких обставин:</w:t>
      </w:r>
    </w:p>
    <w:p w:rsidR="00EC1840" w:rsidRPr="00FE1C8F" w:rsidRDefault="00EC1840" w:rsidP="00FE1C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відсутній аналіз регуляторного впливу;</w:t>
      </w:r>
    </w:p>
    <w:p w:rsidR="00EC1840" w:rsidRPr="00FE1C8F" w:rsidRDefault="00EC1840" w:rsidP="00FE1C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проект регуляторного акта не був оприлюднений.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У зв’язку з цим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ДРС рекомендує подавати у пакеті документів також копію оприлюдненого повідомлення про оприлюднення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проекту з метою встановлення факту оприлюднення зазначеного проекту та аналізу регуляторного впливу до нього і відповідності принципу прозорості та врахування громадської думки.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Після одержання пропозицій уповноваженого органу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(ДРС)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до проекту регуляторного акта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відповідальна постійна комісія аналізує ці пропозиції та на їх підставі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, а також на підставі аналізу регуляторного впливу і експертного висновку щодо регуляторного впливу цього проекту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готує свої висновки про відповідність проекту регуляторного акта вимогам статей 4 та 8 цього Закону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Форма такого висновку також може бути встановлена регламентом відповідної ради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Висновки відповідальної постійної комісії та пропозиції ДРС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 xml:space="preserve">передаються для вивчення до постійної комісії, до сфери відання якої належить супроводження розгляду проекту </w:t>
      </w:r>
      <w:r w:rsidRPr="00FE1C8F">
        <w:rPr>
          <w:rFonts w:ascii="Times New Roman" w:hAnsi="Times New Roman"/>
          <w:sz w:val="28"/>
          <w:szCs w:val="28"/>
          <w:lang w:eastAsia="uk-UA"/>
        </w:rPr>
        <w:t>регуляторного акта у відповідній раді, за винятком випадків, коли відповідальна постійна комісія є головною постійною комісією.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При представленні на пленарному засіданні сесії ради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проекту регуляторного акта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голова відповідальної постійної комісії доповідає висновки цієї постійної комісії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 відповідність проекту регуляторного акта вимогам статей 4 та 8 цього Закону,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а також пропозиції ДРС разом з рішенням постійної комісії щодо їх врахування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Таким чином, Закон не встановлює вимог щодо обов’язкового врахування пропозицій уповноваженого органу щодо удосконалення проекту відповідно до принципів державної регуляторної політики та повідомлення про це ДРС. </w:t>
      </w: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Рішення щодо їх врахування приймається постійною комісією, до сфери відання якої належить супроводження розгляду проекту регуляторного акта у відповідній раді, та депутатами відповідної ради під час представлення проекту регуляторного акта на пленарному засіданні сесії.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Водночас звертаємо увагу, що Верховним Судом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у справі № 826/2507/18 було прийнято постанову від 27.11.2018, в який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висловлено позицію, що недотримання регуляторним органом принципів та процедур, встановлених Законом України «Про засади державної регуляторної політики у сфері господарської діяльності», при прийнятті регуляторного акту є підставою для визнання такого акту протиправним та нечинним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> </w:t>
      </w:r>
    </w:p>
    <w:p w:rsidR="00EC1840" w:rsidRPr="00FE1C8F" w:rsidRDefault="00EC1840" w:rsidP="00FE1C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У разі надання ДРС зауважень до проекту регуляторного акта у зв’язку з відсутністю у відповідного органу місцевого самоврядування повноважень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регулювати питання, визначені у такому проекті, слід зважати на наступне.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Частиною другою статті 19 Конституції України встановлено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, що органи державної влади та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органи місцевого самоврядування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, їх посадові особи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зобов’язані діяти лише на підставі, в межах повноважень та у спосіб</w:t>
      </w:r>
      <w:r w:rsidRPr="00FE1C8F">
        <w:rPr>
          <w:rFonts w:ascii="Times New Roman" w:hAnsi="Times New Roman"/>
          <w:sz w:val="28"/>
          <w:szCs w:val="28"/>
          <w:lang w:eastAsia="uk-UA"/>
        </w:rPr>
        <w:t>, що передбачені Конституцією та законами України.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bCs/>
          <w:sz w:val="28"/>
          <w:szCs w:val="28"/>
          <w:lang w:eastAsia="uk-UA"/>
        </w:rPr>
        <w:t>Відповідно до статті 23 Господарського кодексу України органи місцевого самоврядування здійснюють свої повноваження щодо суб’єктів господарювання виключно в межах, визначених Конституцією України, законами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про місцеве самоврядування та іншими законами, що передбачають особливості здійснення місцевого самоврядування в містах Києві та Севастополі, іншими законами.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E1C8F">
        <w:rPr>
          <w:rFonts w:ascii="Times New Roman" w:hAnsi="Times New Roman"/>
          <w:sz w:val="28"/>
          <w:szCs w:val="28"/>
          <w:lang w:eastAsia="uk-UA"/>
        </w:rPr>
        <w:t xml:space="preserve">Зазначене закріплене також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частиною третьою статті 24 Закону України «Про місцеве самоврядування в Україні»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, відповідно до якої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органи місцевого самоврядування</w:t>
      </w:r>
      <w:r w:rsidRPr="00FE1C8F">
        <w:rPr>
          <w:rFonts w:ascii="Times New Roman" w:hAnsi="Times New Roman"/>
          <w:sz w:val="28"/>
          <w:szCs w:val="28"/>
          <w:lang w:eastAsia="uk-UA"/>
        </w:rPr>
        <w:t xml:space="preserve"> та їх посадові особи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діють лише на підставі, в межах повноважень та у спосіб, передбачені Конституцією і законами України</w:t>
      </w:r>
      <w:r w:rsidRPr="00FE1C8F">
        <w:rPr>
          <w:rFonts w:ascii="Times New Roman" w:hAnsi="Times New Roman"/>
          <w:sz w:val="28"/>
          <w:szCs w:val="28"/>
          <w:lang w:eastAsia="uk-UA"/>
        </w:rPr>
        <w:t>, та керуються у своїй діяльності Конституцією і законами України, актами Президента України, Кабінету Міністрів України, а в Автономній Республіці Крим – також нормативно-правовими актами Верховної Ради і Ради міністрів Автономної Республіки Крим, прийнятими у межах їхньої компетенції.</w:t>
      </w:r>
    </w:p>
    <w:p w:rsidR="00EC1840" w:rsidRPr="00FE1C8F" w:rsidRDefault="00EC1840" w:rsidP="00FE1C8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FE1C8F">
        <w:rPr>
          <w:rFonts w:ascii="Times New Roman" w:hAnsi="Times New Roman"/>
          <w:sz w:val="28"/>
          <w:szCs w:val="28"/>
          <w:lang w:eastAsia="uk-UA"/>
        </w:rPr>
        <w:t xml:space="preserve">Таким чином, </w:t>
      </w:r>
      <w:r w:rsidRPr="00FE1C8F">
        <w:rPr>
          <w:rFonts w:ascii="Times New Roman" w:hAnsi="Times New Roman"/>
          <w:bCs/>
          <w:sz w:val="28"/>
          <w:szCs w:val="28"/>
          <w:lang w:eastAsia="uk-UA"/>
        </w:rPr>
        <w:t>органи місцевого самоврядування можуть врегульовувати лише ті питання, регулювання яких віднесено до їх повноважень, та лише в тому обсязі, що не суперечить вимогам чинного законодавства України</w:t>
      </w:r>
      <w:r w:rsidRPr="00FE1C8F">
        <w:rPr>
          <w:rFonts w:ascii="Times New Roman" w:hAnsi="Times New Roman"/>
          <w:sz w:val="28"/>
          <w:szCs w:val="28"/>
          <w:lang w:eastAsia="uk-UA"/>
        </w:rPr>
        <w:t>.</w:t>
      </w:r>
    </w:p>
    <w:p w:rsidR="00EC1840" w:rsidRPr="00FE1C8F" w:rsidRDefault="00EC1840" w:rsidP="00FE1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1840" w:rsidRPr="00FE1C8F" w:rsidSect="008D1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281"/>
    <w:multiLevelType w:val="multilevel"/>
    <w:tmpl w:val="0DB4F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81642"/>
    <w:multiLevelType w:val="multilevel"/>
    <w:tmpl w:val="4E744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F2A1D"/>
    <w:multiLevelType w:val="multilevel"/>
    <w:tmpl w:val="98B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8DF"/>
    <w:multiLevelType w:val="multilevel"/>
    <w:tmpl w:val="06E6E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2B4FE2"/>
    <w:multiLevelType w:val="multilevel"/>
    <w:tmpl w:val="B59E2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AA0F0D"/>
    <w:multiLevelType w:val="multilevel"/>
    <w:tmpl w:val="43A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51AF6"/>
    <w:multiLevelType w:val="multilevel"/>
    <w:tmpl w:val="EBA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D76C2C"/>
    <w:multiLevelType w:val="multilevel"/>
    <w:tmpl w:val="327C3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C8F"/>
    <w:rsid w:val="00000D0C"/>
    <w:rsid w:val="0047422A"/>
    <w:rsid w:val="006942D7"/>
    <w:rsid w:val="008D1556"/>
    <w:rsid w:val="00EC1840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56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E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C8F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rsid w:val="00FE1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FE1C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1352</Words>
  <Characters>7713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роз’яснення щодо виконання органами місцевого самоврядування положень статті 34 Закону України «Про засади державної регуляторної політики у сфері господарської діяльності»</dc:title>
  <dc:subject/>
  <dc:creator>Білоус   Ольга   Володимирівна</dc:creator>
  <cp:keywords/>
  <dc:description/>
  <cp:lastModifiedBy>User</cp:lastModifiedBy>
  <cp:revision>2</cp:revision>
  <dcterms:created xsi:type="dcterms:W3CDTF">2021-07-19T07:49:00Z</dcterms:created>
  <dcterms:modified xsi:type="dcterms:W3CDTF">2021-07-19T07:49:00Z</dcterms:modified>
</cp:coreProperties>
</file>