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18" w:rsidRDefault="00D15FFF" w:rsidP="00D15FFF">
      <w:pPr>
        <w:shd w:val="clear" w:color="auto" w:fill="FFFFFF"/>
        <w:tabs>
          <w:tab w:val="left" w:pos="180"/>
          <w:tab w:val="right" w:pos="9639"/>
        </w:tabs>
        <w:spacing w:after="0" w:line="240" w:lineRule="auto"/>
        <w:rPr>
          <w:rFonts w:ascii="Times New Roman" w:eastAsia="Times New Roman" w:hAnsi="Times New Roman" w:cs="Times New Roman"/>
          <w:b/>
          <w:bCs/>
          <w:color w:val="333333"/>
          <w:sz w:val="28"/>
          <w:szCs w:val="28"/>
          <w:bdr w:val="none" w:sz="0" w:space="0" w:color="auto" w:frame="1"/>
          <w:lang w:val="uk-UA" w:eastAsia="ru-RU"/>
        </w:rPr>
      </w:pPr>
      <w:r>
        <w:rPr>
          <w:rFonts w:ascii="Times New Roman" w:eastAsia="Times New Roman" w:hAnsi="Times New Roman" w:cs="Times New Roman"/>
          <w:b/>
          <w:bCs/>
          <w:color w:val="333333"/>
          <w:sz w:val="24"/>
          <w:szCs w:val="24"/>
          <w:bdr w:val="none" w:sz="0" w:space="0" w:color="auto" w:frame="1"/>
          <w:lang w:eastAsia="ru-RU"/>
        </w:rPr>
        <w:tab/>
      </w:r>
      <w:r>
        <w:rPr>
          <w:rFonts w:ascii="Times New Roman" w:eastAsia="Times New Roman" w:hAnsi="Times New Roman" w:cs="Times New Roman"/>
          <w:b/>
          <w:bCs/>
          <w:color w:val="333333"/>
          <w:sz w:val="24"/>
          <w:szCs w:val="24"/>
          <w:bdr w:val="none" w:sz="0" w:space="0" w:color="auto" w:frame="1"/>
          <w:lang w:eastAsia="ru-RU"/>
        </w:rPr>
        <w:tab/>
      </w:r>
      <w:r w:rsidR="007A0B18" w:rsidRPr="007A0B18">
        <w:rPr>
          <w:rFonts w:ascii="Times New Roman" w:eastAsia="Times New Roman" w:hAnsi="Times New Roman" w:cs="Times New Roman"/>
          <w:b/>
          <w:bCs/>
          <w:color w:val="333333"/>
          <w:sz w:val="24"/>
          <w:szCs w:val="24"/>
          <w:bdr w:val="none" w:sz="0" w:space="0" w:color="auto" w:frame="1"/>
          <w:lang w:eastAsia="ru-RU"/>
        </w:rPr>
        <w:t>                               </w:t>
      </w:r>
      <w:r w:rsidR="009D3634">
        <w:rPr>
          <w:rFonts w:ascii="Times New Roman" w:eastAsia="Times New Roman" w:hAnsi="Times New Roman" w:cs="Times New Roman"/>
          <w:b/>
          <w:bCs/>
          <w:color w:val="333333"/>
          <w:sz w:val="28"/>
          <w:szCs w:val="28"/>
          <w:bdr w:val="none" w:sz="0" w:space="0" w:color="auto" w:frame="1"/>
          <w:lang w:val="uk-UA" w:eastAsia="ru-RU"/>
        </w:rPr>
        <w:t>Додаток №1</w:t>
      </w:r>
    </w:p>
    <w:p w:rsidR="009D3634" w:rsidRDefault="009D3634" w:rsidP="009D3634">
      <w:pPr>
        <w:shd w:val="clear" w:color="auto" w:fill="FFFFFF"/>
        <w:tabs>
          <w:tab w:val="left" w:pos="180"/>
          <w:tab w:val="right" w:pos="9639"/>
        </w:tabs>
        <w:spacing w:after="0" w:line="240" w:lineRule="auto"/>
        <w:jc w:val="right"/>
        <w:rPr>
          <w:rFonts w:ascii="Times New Roman" w:eastAsia="Times New Roman" w:hAnsi="Times New Roman" w:cs="Times New Roman"/>
          <w:b/>
          <w:bCs/>
          <w:color w:val="333333"/>
          <w:sz w:val="28"/>
          <w:szCs w:val="28"/>
          <w:bdr w:val="none" w:sz="0" w:space="0" w:color="auto" w:frame="1"/>
          <w:lang w:val="uk-UA" w:eastAsia="ru-RU"/>
        </w:rPr>
      </w:pPr>
      <w:r>
        <w:rPr>
          <w:rFonts w:ascii="Times New Roman" w:eastAsia="Times New Roman" w:hAnsi="Times New Roman" w:cs="Times New Roman"/>
          <w:b/>
          <w:bCs/>
          <w:color w:val="333333"/>
          <w:sz w:val="28"/>
          <w:szCs w:val="28"/>
          <w:bdr w:val="none" w:sz="0" w:space="0" w:color="auto" w:frame="1"/>
          <w:lang w:val="uk-UA" w:eastAsia="ru-RU"/>
        </w:rPr>
        <w:t xml:space="preserve">затверджено розпорядженням </w:t>
      </w:r>
    </w:p>
    <w:p w:rsidR="009D3634" w:rsidRDefault="009D3634" w:rsidP="009D3634">
      <w:pPr>
        <w:shd w:val="clear" w:color="auto" w:fill="FFFFFF"/>
        <w:tabs>
          <w:tab w:val="left" w:pos="180"/>
          <w:tab w:val="right" w:pos="9639"/>
        </w:tabs>
        <w:spacing w:after="0" w:line="240" w:lineRule="auto"/>
        <w:jc w:val="right"/>
        <w:rPr>
          <w:rFonts w:ascii="Times New Roman" w:eastAsia="Times New Roman" w:hAnsi="Times New Roman" w:cs="Times New Roman"/>
          <w:b/>
          <w:bCs/>
          <w:color w:val="333333"/>
          <w:sz w:val="28"/>
          <w:szCs w:val="28"/>
          <w:bdr w:val="none" w:sz="0" w:space="0" w:color="auto" w:frame="1"/>
          <w:lang w:val="uk-UA" w:eastAsia="ru-RU"/>
        </w:rPr>
      </w:pPr>
      <w:r>
        <w:rPr>
          <w:rFonts w:ascii="Times New Roman" w:eastAsia="Times New Roman" w:hAnsi="Times New Roman" w:cs="Times New Roman"/>
          <w:b/>
          <w:bCs/>
          <w:color w:val="333333"/>
          <w:sz w:val="28"/>
          <w:szCs w:val="28"/>
          <w:bdr w:val="none" w:sz="0" w:space="0" w:color="auto" w:frame="1"/>
          <w:lang w:val="uk-UA" w:eastAsia="ru-RU"/>
        </w:rPr>
        <w:t>№29/01 від 09.03.2021 року</w:t>
      </w:r>
    </w:p>
    <w:p w:rsidR="00CA5AD3" w:rsidRPr="009D3634" w:rsidRDefault="00B37378" w:rsidP="009D3634">
      <w:pPr>
        <w:shd w:val="clear" w:color="auto" w:fill="FFFFFF"/>
        <w:tabs>
          <w:tab w:val="left" w:pos="6810"/>
        </w:tabs>
        <w:spacing w:after="0" w:line="240" w:lineRule="auto"/>
        <w:rPr>
          <w:rFonts w:ascii="Times New Roman" w:eastAsia="Times New Roman" w:hAnsi="Times New Roman" w:cs="Times New Roman"/>
          <w:color w:val="333333"/>
          <w:sz w:val="28"/>
          <w:szCs w:val="28"/>
          <w:bdr w:val="none" w:sz="0" w:space="0" w:color="auto" w:frame="1"/>
          <w:lang w:val="uk-UA" w:eastAsia="ru-RU"/>
        </w:rPr>
      </w:pPr>
      <w:r>
        <w:rPr>
          <w:rFonts w:ascii="Times New Roman" w:eastAsia="Times New Roman" w:hAnsi="Times New Roman" w:cs="Times New Roman"/>
          <w:b/>
          <w:bCs/>
          <w:color w:val="333333"/>
          <w:sz w:val="28"/>
          <w:szCs w:val="28"/>
          <w:bdr w:val="none" w:sz="0" w:space="0" w:color="auto" w:frame="1"/>
          <w:lang w:val="uk-UA" w:eastAsia="ru-RU"/>
        </w:rPr>
        <w:tab/>
      </w:r>
      <w:r w:rsidR="007A0B18">
        <w:rPr>
          <w:rFonts w:ascii="Times New Roman" w:eastAsia="Times New Roman" w:hAnsi="Times New Roman" w:cs="Times New Roman"/>
          <w:color w:val="333333"/>
          <w:sz w:val="28"/>
          <w:szCs w:val="28"/>
          <w:bdr w:val="none" w:sz="0" w:space="0" w:color="auto" w:frame="1"/>
          <w:lang w:val="uk-UA" w:eastAsia="ru-RU"/>
        </w:rPr>
        <w:t xml:space="preserve"> </w:t>
      </w:r>
      <w:r w:rsidR="00CA5AD3" w:rsidRPr="00CA5AD3">
        <w:rPr>
          <w:rFonts w:ascii="Verdana" w:eastAsia="Times New Roman" w:hAnsi="Verdana" w:cs="Times New Roman"/>
          <w:color w:val="666666"/>
          <w:sz w:val="18"/>
          <w:szCs w:val="18"/>
          <w:lang w:eastAsia="ru-RU"/>
        </w:rPr>
        <w:t> </w:t>
      </w:r>
    </w:p>
    <w:p w:rsidR="00625DE6" w:rsidRPr="00625DE6" w:rsidRDefault="00B37378" w:rsidP="00D15FFF">
      <w:pPr>
        <w:pStyle w:val="a3"/>
        <w:tabs>
          <w:tab w:val="left" w:pos="4080"/>
          <w:tab w:val="right" w:pos="9639"/>
        </w:tabs>
        <w:spacing w:before="0" w:beforeAutospacing="0" w:after="0" w:afterAutospacing="0"/>
        <w:rPr>
          <w:lang w:val="uk-UA"/>
        </w:rPr>
      </w:pPr>
      <w:r w:rsidRPr="00D15FFF">
        <w:rPr>
          <w:rFonts w:ascii="Verdana" w:hAnsi="Verdana"/>
          <w:color w:val="666666"/>
          <w:sz w:val="18"/>
          <w:szCs w:val="18"/>
          <w:lang w:val="uk-UA"/>
        </w:rPr>
        <w:tab/>
      </w:r>
      <w:r w:rsidR="00625DE6" w:rsidRPr="00625DE6">
        <w:rPr>
          <w:b/>
          <w:bCs/>
          <w:bdr w:val="none" w:sz="0" w:space="0" w:color="auto" w:frame="1"/>
        </w:rPr>
        <w:t> </w:t>
      </w:r>
      <w:r w:rsidR="00625DE6" w:rsidRPr="00625DE6">
        <w:t> </w:t>
      </w:r>
    </w:p>
    <w:p w:rsidR="00625DE6" w:rsidRPr="00340D3F" w:rsidRDefault="00625DE6" w:rsidP="00625DE6">
      <w:pPr>
        <w:spacing w:after="0" w:line="240" w:lineRule="auto"/>
        <w:jc w:val="center"/>
        <w:rPr>
          <w:rFonts w:asciiTheme="majorBidi" w:eastAsia="Times New Roman" w:hAnsiTheme="majorBidi" w:cstheme="majorBidi"/>
          <w:sz w:val="24"/>
          <w:szCs w:val="24"/>
          <w:lang w:val="uk-UA" w:eastAsia="ru-RU"/>
        </w:rPr>
      </w:pPr>
      <w:r w:rsidRPr="00340D3F">
        <w:rPr>
          <w:rFonts w:asciiTheme="majorBidi" w:eastAsia="Times New Roman" w:hAnsiTheme="majorBidi" w:cstheme="majorBidi"/>
          <w:b/>
          <w:bCs/>
          <w:sz w:val="28"/>
          <w:szCs w:val="28"/>
          <w:bdr w:val="none" w:sz="0" w:space="0" w:color="auto" w:frame="1"/>
          <w:lang w:val="uk-UA" w:eastAsia="ru-RU"/>
        </w:rPr>
        <w:t>ПОЛОЖЕННЯ   ПРО  ОБЛІКОВУ  ПОЛІТИКУ</w:t>
      </w:r>
    </w:p>
    <w:p w:rsidR="00625DE6" w:rsidRPr="00340D3F" w:rsidRDefault="00625DE6" w:rsidP="009D3634">
      <w:pPr>
        <w:spacing w:after="0" w:line="240" w:lineRule="auto"/>
        <w:jc w:val="center"/>
        <w:rPr>
          <w:rFonts w:asciiTheme="majorBidi" w:eastAsia="Times New Roman" w:hAnsiTheme="majorBidi" w:cstheme="majorBidi"/>
          <w:sz w:val="24"/>
          <w:szCs w:val="24"/>
          <w:lang w:val="uk-UA" w:eastAsia="ru-RU"/>
        </w:rPr>
      </w:pPr>
      <w:r w:rsidRPr="00340D3F">
        <w:rPr>
          <w:rFonts w:asciiTheme="majorBidi" w:eastAsia="Times New Roman" w:hAnsiTheme="majorBidi" w:cstheme="majorBidi"/>
          <w:b/>
          <w:bCs/>
          <w:sz w:val="28"/>
          <w:szCs w:val="28"/>
          <w:bdr w:val="none" w:sz="0" w:space="0" w:color="auto" w:frame="1"/>
          <w:lang w:val="uk-UA" w:eastAsia="ru-RU"/>
        </w:rPr>
        <w:t>І. Загальні положення</w:t>
      </w:r>
    </w:p>
    <w:p w:rsidR="00625DE6" w:rsidRPr="00340D3F" w:rsidRDefault="00625DE6" w:rsidP="00625DE6">
      <w:pPr>
        <w:spacing w:after="0" w:line="240" w:lineRule="auto"/>
        <w:jc w:val="both"/>
        <w:rPr>
          <w:rFonts w:asciiTheme="majorBidi" w:eastAsia="Times New Roman" w:hAnsiTheme="majorBidi" w:cstheme="majorBidi"/>
          <w:sz w:val="24"/>
          <w:szCs w:val="24"/>
          <w:lang w:eastAsia="ru-RU"/>
        </w:rPr>
      </w:pPr>
      <w:r w:rsidRPr="00340D3F">
        <w:rPr>
          <w:rFonts w:asciiTheme="majorBidi" w:eastAsia="Times New Roman" w:hAnsiTheme="majorBidi" w:cstheme="majorBidi"/>
          <w:sz w:val="28"/>
          <w:szCs w:val="28"/>
          <w:bdr w:val="none" w:sz="0" w:space="0" w:color="auto" w:frame="1"/>
          <w:lang w:val="uk-UA" w:eastAsia="ru-RU"/>
        </w:rPr>
        <w:t>            Положення про облікову політику (надалі – Положення) визначає методи оцінки, обліку і процедури, які застосовуються суб’єктом державного сектору для ведення бухгалтерського обліку,  складання і подання фінансової та бюджетної звітності, не визначені національними положеннями (стандартами) бухгалтерського обліку в державному секторі або щодо яких передбачено більш ніж один їх варіант, а також строки корисного використання груп  основних засобів та нематеріальних активів. Обрана та затверджена цим Положенням облікова політика застосовується постійно (рік у рік). Зміни до облікової політики вносяться лише у випадку, передбачених національними положеннями (стандартами) бухгалтерського обліку в державному секторі та обов’язково обґрунтовуються і розкриваються у фінансовій звітності.</w:t>
      </w:r>
    </w:p>
    <w:p w:rsidR="00E0512A" w:rsidRDefault="00625DE6" w:rsidP="00E0512A">
      <w:pPr>
        <w:spacing w:after="0" w:line="240" w:lineRule="auto"/>
        <w:jc w:val="center"/>
        <w:rPr>
          <w:rFonts w:ascii="Times New Roman" w:hAnsi="Times New Roman" w:cs="Times New Roman"/>
          <w:b/>
          <w:color w:val="000000"/>
          <w:sz w:val="28"/>
          <w:szCs w:val="28"/>
          <w:shd w:val="clear" w:color="auto" w:fill="FFFFFF"/>
          <w:lang w:val="uk-UA"/>
        </w:rPr>
      </w:pPr>
      <w:r w:rsidRPr="00340D3F">
        <w:rPr>
          <w:rFonts w:asciiTheme="majorBidi" w:eastAsia="Times New Roman" w:hAnsiTheme="majorBidi" w:cstheme="majorBidi"/>
          <w:b/>
          <w:bCs/>
          <w:color w:val="000000"/>
          <w:sz w:val="28"/>
          <w:szCs w:val="28"/>
          <w:bdr w:val="none" w:sz="0" w:space="0" w:color="auto" w:frame="1"/>
          <w:shd w:val="clear" w:color="auto" w:fill="FFFFFF"/>
          <w:lang w:val="uk-UA" w:eastAsia="ru-RU"/>
        </w:rPr>
        <w:t xml:space="preserve">ІІ. Організація ведення бухгалтерського обліку та обліку первинних документів </w:t>
      </w:r>
      <w:r w:rsidR="009651D7">
        <w:rPr>
          <w:rFonts w:asciiTheme="majorBidi" w:eastAsia="Times New Roman" w:hAnsiTheme="majorBidi" w:cstheme="majorBidi"/>
          <w:b/>
          <w:bCs/>
          <w:color w:val="000000"/>
          <w:sz w:val="28"/>
          <w:szCs w:val="28"/>
          <w:bdr w:val="none" w:sz="0" w:space="0" w:color="auto" w:frame="1"/>
          <w:shd w:val="clear" w:color="auto" w:fill="FFFFFF"/>
          <w:lang w:val="uk-UA" w:eastAsia="ru-RU"/>
        </w:rPr>
        <w:t>віділом бухгалтерського обліку</w:t>
      </w:r>
      <w:r w:rsidR="009651D7">
        <w:rPr>
          <w:rFonts w:ascii="Times New Roman" w:hAnsi="Times New Roman" w:cs="Times New Roman"/>
          <w:b/>
          <w:color w:val="000000"/>
          <w:sz w:val="28"/>
          <w:szCs w:val="28"/>
          <w:shd w:val="clear" w:color="auto" w:fill="FFFFFF"/>
          <w:lang w:val="uk-UA"/>
        </w:rPr>
        <w:t xml:space="preserve"> Самгородоцької сільської ради</w:t>
      </w:r>
    </w:p>
    <w:p w:rsidR="00625DE6" w:rsidRPr="00A10CB7" w:rsidRDefault="00625DE6" w:rsidP="00625DE6">
      <w:pPr>
        <w:spacing w:after="0" w:line="240" w:lineRule="auto"/>
        <w:jc w:val="both"/>
        <w:rPr>
          <w:rFonts w:ascii="Times New Roman" w:eastAsia="Times New Roman" w:hAnsi="Times New Roman" w:cs="Times New Roman"/>
          <w:sz w:val="24"/>
          <w:szCs w:val="24"/>
          <w:lang w:val="uk-UA" w:eastAsia="ru-RU"/>
        </w:rPr>
      </w:pP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1. Для обліку записів господарських операцій в облікових регістрах із забезпеченням їх збереження на електронних носіях та в паперовому вигляді застосовується меморіально-ордерна форма бухгалтерського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w:t>
      </w:r>
      <w:r w:rsidRPr="00A10CB7">
        <w:rPr>
          <w:rFonts w:ascii="Times New Roman" w:eastAsia="Times New Roman" w:hAnsi="Times New Roman" w:cs="Times New Roman"/>
          <w:color w:val="000000"/>
          <w:sz w:val="28"/>
          <w:szCs w:val="28"/>
          <w:bdr w:val="none" w:sz="0" w:space="0" w:color="auto" w:frame="1"/>
          <w:shd w:val="clear" w:color="auto" w:fill="FFFFFF"/>
          <w:lang w:val="uk-UA" w:eastAsia="ru-RU"/>
        </w:rPr>
        <w:t>обліку</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w:t>
      </w:r>
      <w:r w:rsidRPr="00A10CB7">
        <w:rPr>
          <w:rFonts w:ascii="Times New Roman" w:eastAsia="Times New Roman" w:hAnsi="Times New Roman" w:cs="Times New Roman"/>
          <w:color w:val="000000"/>
          <w:sz w:val="28"/>
          <w:szCs w:val="28"/>
          <w:bdr w:val="none" w:sz="0" w:space="0" w:color="auto" w:frame="1"/>
          <w:shd w:val="clear" w:color="auto" w:fill="FFFFFF"/>
          <w:lang w:val="uk-UA" w:eastAsia="ru-RU"/>
        </w:rPr>
        <w:t>Про затвердження типових форм меморіальних ордерів, інших облікових регістрів суб’єктів державного сектору та порядку їх складання, затвердженим наказом Міністерство Фінансів України від 08.09.2017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755,</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зареєстрованого</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в Міністерстві 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від</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20.11.2017 за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1416/31284.</w:t>
      </w:r>
    </w:p>
    <w:p w:rsidR="00625DE6" w:rsidRPr="00625DE6" w:rsidRDefault="00625DE6" w:rsidP="00625DE6">
      <w:pPr>
        <w:spacing w:after="0" w:line="240" w:lineRule="auto"/>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Меморіальні ордери - накопичувальні відомості повинні формуватися не пізніше ніж до 5-го числа місяця, що настає за звітним періодом.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Усі меморіальні ордери підлягають реєстрації у книзі «Журнал-головна». Облік у книзі «Журнал-головна» ведеться по субрахунках.</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2. Складання фінансової, бюджетної, податкової та статистичної звітності про фінансово-економічну діяльність  </w:t>
      </w:r>
      <w:r w:rsidR="009651D7">
        <w:rPr>
          <w:rFonts w:ascii="Times New Roman" w:eastAsia="Times New Roman" w:hAnsi="Times New Roman" w:cs="Times New Roman"/>
          <w:color w:val="000000"/>
          <w:sz w:val="28"/>
          <w:szCs w:val="28"/>
          <w:bdr w:val="none" w:sz="0" w:space="0" w:color="auto" w:frame="1"/>
          <w:shd w:val="clear" w:color="auto" w:fill="FFFFFF"/>
          <w:lang w:val="uk-UA" w:eastAsia="ru-RU"/>
        </w:rPr>
        <w:t>комунальних закладів Самгородоцької</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сільської ради</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здійснюється на підставі даних регістрів бухгалтерського обліку за формами, встановленими відповідними нормативно-правовими актами України.</w:t>
      </w:r>
    </w:p>
    <w:p w:rsidR="00D15FFF" w:rsidRDefault="00625DE6" w:rsidP="00D15FFF">
      <w:pPr>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Бюджетним періодом є календарний рік. Проміжні облікові періоди - квартал, місяць. Звітність за такими періодами складається наростаючим підсумком із початку звітного року.</w:t>
      </w:r>
    </w:p>
    <w:p w:rsidR="00625DE6" w:rsidRPr="00625DE6" w:rsidRDefault="00625DE6" w:rsidP="00D15FFF">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3. Підставою для відображення операцій в бухгалтерському обліку є первинний документ, який фіксує факт здійснення операції. Оформлення та подання первинних документів слід здійснювати відповідно до вимог Положення про документальне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забезпечення записів у бухгалтерському обліку, затвердженого наказом Міністерства фінансів України від 24.05.1995 № 88, зареєстрованого в Міністерствіюстиції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24.05.1995 за № 168/704</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згідно з графіком документообігу. Строки опрацювання, контролю та здавання документів,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lastRenderedPageBreak/>
        <w:t xml:space="preserve">визначені у графіку документообігу є обов'язковими для усіх </w:t>
      </w:r>
      <w:r w:rsidR="00E0512A" w:rsidRPr="00625DE6">
        <w:rPr>
          <w:rFonts w:ascii="Times New Roman" w:eastAsia="Times New Roman" w:hAnsi="Times New Roman" w:cs="Times New Roman"/>
          <w:color w:val="000000"/>
          <w:sz w:val="28"/>
          <w:szCs w:val="28"/>
          <w:bdr w:val="none" w:sz="0" w:space="0" w:color="auto" w:frame="1"/>
          <w:shd w:val="clear" w:color="auto" w:fill="FFFFFF"/>
          <w:lang w:eastAsia="ru-RU"/>
        </w:rPr>
        <w:t>працівників </w:t>
      </w:r>
      <w:r w:rsidR="009651D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Самгородоц</w:t>
      </w:r>
      <w:r>
        <w:rPr>
          <w:rFonts w:ascii="Times New Roman" w:eastAsia="Times New Roman" w:hAnsi="Times New Roman" w:cs="Times New Roman"/>
          <w:color w:val="000000"/>
          <w:sz w:val="28"/>
          <w:szCs w:val="28"/>
          <w:bdr w:val="none" w:sz="0" w:space="0" w:color="auto" w:frame="1"/>
          <w:shd w:val="clear" w:color="auto" w:fill="FFFFFF"/>
          <w:lang w:val="uk-UA" w:eastAsia="ru-RU"/>
        </w:rPr>
        <w:t>ької сільської ради</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4. Первинні документи складаються в момент здійснення операції, а якщо це неможливо - безпосередньо після її закінчення. Відповідальність за своєчасне і якісне складання документів, передачу їх для відображення в бухгалтерському обліку, за достовірність даних, наведених</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у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документах</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несуть особи, які склали та підписали ці документи.</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Первинні документи повинні мати такі обов'язкові реквізити: назва документа (форми), дата і місце складання, назва установи, від якої складено документ, зміст та обсяг господарської операції, одиниця виміру господарської операції, посади осіб, відповідальних за здійснення господарської операції і правильність її оформлення, особисті підписи.</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Інформація, що міститься у прийнятих до обліку первинних документах, накопичується і систематизується на рахунках бухгалтерського обліку та в меморіальних ордерах.</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У первинних документах і меморіальних ордерах виправлення помилок повинно бути підтверджене підписами посадових осіб. У   банківських документах виправлення не допускаються.</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Первинні документи три роки зберігаються у відділі бухгалтерського обліку та </w:t>
      </w:r>
      <w:r w:rsidR="00E0512A" w:rsidRPr="00625DE6">
        <w:rPr>
          <w:rFonts w:ascii="Times New Roman" w:eastAsia="Times New Roman" w:hAnsi="Times New Roman" w:cs="Times New Roman"/>
          <w:color w:val="000000"/>
          <w:sz w:val="28"/>
          <w:szCs w:val="28"/>
          <w:bdr w:val="none" w:sz="0" w:space="0" w:color="auto" w:frame="1"/>
          <w:shd w:val="clear" w:color="auto" w:fill="FFFFFF"/>
          <w:lang w:eastAsia="ru-RU"/>
        </w:rPr>
        <w:t>звітності </w:t>
      </w:r>
      <w:r w:rsidR="009D3634">
        <w:rPr>
          <w:rFonts w:ascii="Times New Roman" w:eastAsia="Times New Roman" w:hAnsi="Times New Roman" w:cs="Times New Roman"/>
          <w:color w:val="000000"/>
          <w:sz w:val="28"/>
          <w:szCs w:val="28"/>
          <w:bdr w:val="none" w:sz="0" w:space="0" w:color="auto" w:frame="1"/>
          <w:shd w:val="clear" w:color="auto" w:fill="FFFFFF"/>
          <w:lang w:val="uk-UA" w:eastAsia="ru-RU"/>
        </w:rPr>
        <w:t>Самгородоцької</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сільської ради</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в</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ідповідальність за збереження первинних документів несуть працівники відділу.</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5. Для деталізації обліку грошових коштів, матеріальних цінностей, грошових документів, розрахунків використовується план рахунків бухгалтерського обліку в державному секторі, затверджений наказом Міністерства фінансів України від 31.</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12</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.2013 № 1203</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w:t>
      </w:r>
    </w:p>
    <w:p w:rsidR="00625DE6" w:rsidRPr="00625DE6" w:rsidRDefault="00625DE6" w:rsidP="00625DE6">
      <w:pPr>
        <w:spacing w:after="0" w:line="240" w:lineRule="auto"/>
        <w:jc w:val="both"/>
        <w:rPr>
          <w:rFonts w:ascii="Times New Roman" w:eastAsia="Times New Roman" w:hAnsi="Times New Roman" w:cs="Times New Roman"/>
          <w:sz w:val="24"/>
          <w:szCs w:val="24"/>
          <w:lang w:val="uk-UA" w:eastAsia="ru-RU"/>
        </w:rPr>
      </w:pPr>
      <w:r w:rsidRPr="00625DE6">
        <w:rPr>
          <w:rFonts w:ascii="Times New Roman" w:eastAsia="Times New Roman" w:hAnsi="Times New Roman" w:cs="Times New Roman"/>
          <w:color w:val="000000"/>
          <w:sz w:val="28"/>
          <w:szCs w:val="28"/>
          <w:bdr w:val="none" w:sz="0" w:space="0" w:color="auto" w:frame="1"/>
          <w:lang w:val="uk-UA" w:eastAsia="ru-RU"/>
        </w:rPr>
        <w:t>         У </w:t>
      </w:r>
      <w:r w:rsidRPr="00625DE6">
        <w:rPr>
          <w:rFonts w:ascii="Times New Roman" w:eastAsia="Times New Roman" w:hAnsi="Times New Roman" w:cs="Times New Roman"/>
          <w:i/>
          <w:iCs/>
          <w:color w:val="000000"/>
          <w:sz w:val="28"/>
          <w:szCs w:val="28"/>
          <w:bdr w:val="none" w:sz="0" w:space="0" w:color="auto" w:frame="1"/>
          <w:lang w:val="uk-UA" w:eastAsia="ru-RU"/>
        </w:rPr>
        <w:t>Робочому плані рахунків бухгалтерського обліку </w:t>
      </w:r>
      <w:r w:rsidRPr="00625DE6">
        <w:rPr>
          <w:rFonts w:ascii="Times New Roman" w:eastAsia="Times New Roman" w:hAnsi="Times New Roman" w:cs="Times New Roman"/>
          <w:color w:val="000000"/>
          <w:sz w:val="28"/>
          <w:szCs w:val="28"/>
          <w:bdr w:val="none" w:sz="0" w:space="0" w:color="auto" w:frame="1"/>
          <w:lang w:val="uk-UA" w:eastAsia="ru-RU"/>
        </w:rPr>
        <w:t> для деталізації обліку грошових коштів, матеріальних цінностей, грошових документів, розрахунків передбачити субрахунки другого рівня залежно від джерел надходжень, а саме для надходжень і розрахунків:</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lang w:val="uk-UA" w:eastAsia="ru-RU"/>
        </w:rPr>
        <w:t>- за загальним фондом, доповнивши цифрою 1;</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lang w:val="uk-UA" w:eastAsia="ru-RU"/>
        </w:rPr>
        <w:t>- за спеціальним фондом, доповнивши цифрою 2. </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6. Для чіткого розмежування видатків бюджетних установ та одержувачів бюджетних коштів за економічними характеристиками операцій, які здійснюються відповідно до функцій держави, застосовують економічну класифікацію видатків бюджету. Застосування кодів економічної класифікації видатків здійснюється згідно з Інструкцією щодо застосування економічної класифікації видатків бюджету, затвердженою наказом Міністерства фінансів України від 12.03.2012</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 333, який</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зареєстрований в Міністерстві юстиції України 12.03.2012 за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456/20769.</w:t>
      </w:r>
      <w:r w:rsidRPr="00625DE6">
        <w:rPr>
          <w:rFonts w:ascii="Times New Roman" w:eastAsia="Times New Roman" w:hAnsi="Times New Roman" w:cs="Times New Roman"/>
          <w:sz w:val="24"/>
          <w:szCs w:val="24"/>
          <w:bdr w:val="none" w:sz="0" w:space="0" w:color="auto" w:frame="1"/>
          <w:shd w:val="clear" w:color="auto" w:fill="FFFFFF"/>
          <w:lang w:eastAsia="ru-RU"/>
        </w:rPr>
        <w:t> </w:t>
      </w:r>
    </w:p>
    <w:p w:rsidR="00625DE6" w:rsidRPr="00E0512A" w:rsidRDefault="00625DE6" w:rsidP="00E0512A">
      <w:pPr>
        <w:spacing w:after="0" w:line="240" w:lineRule="auto"/>
        <w:rPr>
          <w:rFonts w:ascii="Times New Roman" w:eastAsia="Times New Roman" w:hAnsi="Times New Roman" w:cs="Times New Roman"/>
          <w:sz w:val="28"/>
          <w:szCs w:val="28"/>
          <w:lang w:eastAsia="ru-RU"/>
        </w:rPr>
      </w:pPr>
      <w:r w:rsidRPr="00E0512A">
        <w:rPr>
          <w:rFonts w:ascii="Times New Roman" w:eastAsia="Times New Roman" w:hAnsi="Times New Roman" w:cs="Times New Roman"/>
          <w:b/>
          <w:bCs/>
          <w:color w:val="000000"/>
          <w:sz w:val="28"/>
          <w:szCs w:val="28"/>
          <w:bdr w:val="none" w:sz="0" w:space="0" w:color="auto" w:frame="1"/>
          <w:shd w:val="clear" w:color="auto" w:fill="FFFFFF"/>
          <w:lang w:eastAsia="ru-RU"/>
        </w:rPr>
        <w:t>ІІI, запас</w:t>
      </w:r>
      <w:r w:rsidR="00E0512A" w:rsidRPr="00E0512A">
        <w:rPr>
          <w:rFonts w:ascii="Times New Roman" w:eastAsia="Times New Roman" w:hAnsi="Times New Roman" w:cs="Times New Roman"/>
          <w:b/>
          <w:bCs/>
          <w:color w:val="000000"/>
          <w:sz w:val="28"/>
          <w:szCs w:val="28"/>
          <w:bdr w:val="none" w:sz="0" w:space="0" w:color="auto" w:frame="1"/>
          <w:shd w:val="clear" w:color="auto" w:fill="FFFFFF"/>
          <w:lang w:eastAsia="ru-RU"/>
        </w:rPr>
        <w:t>. Організація обліку </w:t>
      </w:r>
      <w:r w:rsidR="00E0512A">
        <w:rPr>
          <w:rFonts w:ascii="Times New Roman" w:eastAsia="Times New Roman" w:hAnsi="Times New Roman" w:cs="Times New Roman"/>
          <w:b/>
          <w:bCs/>
          <w:color w:val="000000"/>
          <w:sz w:val="28"/>
          <w:szCs w:val="28"/>
          <w:bdr w:val="none" w:sz="0" w:space="0" w:color="auto" w:frame="1"/>
          <w:shd w:val="clear" w:color="auto" w:fill="FFFFFF"/>
          <w:lang w:val="uk-UA" w:eastAsia="ru-RU"/>
        </w:rPr>
        <w:t>о</w:t>
      </w:r>
      <w:r w:rsidR="00E0512A" w:rsidRPr="00E0512A">
        <w:rPr>
          <w:rFonts w:ascii="Times New Roman" w:eastAsia="Times New Roman" w:hAnsi="Times New Roman" w:cs="Times New Roman"/>
          <w:b/>
          <w:bCs/>
          <w:sz w:val="28"/>
          <w:szCs w:val="28"/>
          <w:bdr w:val="none" w:sz="0" w:space="0" w:color="auto" w:frame="1"/>
          <w:shd w:val="clear" w:color="auto" w:fill="FFFFFF"/>
          <w:lang w:eastAsia="ru-RU"/>
        </w:rPr>
        <w:t>сновних</w:t>
      </w:r>
      <w:r w:rsidR="00E0512A" w:rsidRPr="00E0512A">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засобів</w:t>
      </w:r>
      <w:r w:rsidR="00E0512A">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запасів </w:t>
      </w:r>
      <w:r w:rsidRPr="00E0512A">
        <w:rPr>
          <w:rFonts w:ascii="Times New Roman" w:eastAsia="Times New Roman" w:hAnsi="Times New Roman" w:cs="Times New Roman"/>
          <w:b/>
          <w:bCs/>
          <w:color w:val="000000"/>
          <w:sz w:val="28"/>
          <w:szCs w:val="28"/>
          <w:bdr w:val="none" w:sz="0" w:space="0" w:color="auto" w:frame="1"/>
          <w:shd w:val="clear" w:color="auto" w:fill="FFFFFF"/>
          <w:lang w:eastAsia="ru-RU"/>
        </w:rPr>
        <w:t>та інших активів</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1. У бухгалтерському обліку формування інформації про основні засоби, інші необоротні матеріальні активи та незавершені капітальні інвестиції в необоротні матеріальні активи здійснюється відповідно до НП(С)БО 121 «Основні засоби», затвердженого наказом Міністерства фінансів України від 12.10.2010 №1202, який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зареєстрований в Міністерстві</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01.11.2010 за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1017/18312</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та Методичних рекомендацій з бухгалтерського обліку основних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lastRenderedPageBreak/>
        <w:t>засобів суб'єктів державного сектору, затверджених наказом Міністерства фінансів України від 23.01.2015 № 11.</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Бухгалтерський облік нематеріальних активів здійснюється відповідно до НП(С)БО 122 «Нематеріальні активи», затвердженого наказом Міністерства фінансів України від 12.10.2010 № 1202, який зареєстрований в Міністерстві</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01.11.2010 за № 1017/18312 та Методичних рекомендацій з бухгалтерського обліку нематеріальних активів суб'єктів державного сектору, затверджених наказом Міністерства фінансів України від 23.01.2015 № 11.</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sz w:val="28"/>
          <w:szCs w:val="28"/>
          <w:bdr w:val="none" w:sz="0" w:space="0" w:color="auto" w:frame="1"/>
          <w:shd w:val="clear" w:color="auto" w:fill="FFFFFF"/>
          <w:lang w:eastAsia="ru-RU"/>
        </w:rPr>
        <w:t>2. До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складу основних засобів відносяться необоротні активи, термін експлуатації яких перевищує один рік та первісна вартість за один</w:t>
      </w:r>
      <w:r w:rsidR="00E0512A">
        <w:rPr>
          <w:rFonts w:ascii="Times New Roman" w:eastAsia="Times New Roman" w:hAnsi="Times New Roman" w:cs="Times New Roman"/>
          <w:color w:val="000000"/>
          <w:sz w:val="28"/>
          <w:szCs w:val="28"/>
          <w:bdr w:val="none" w:sz="0" w:space="0" w:color="auto" w:frame="1"/>
          <w:shd w:val="clear" w:color="auto" w:fill="FFFFFF"/>
          <w:lang w:eastAsia="ru-RU"/>
        </w:rPr>
        <w:t>ицю (комплект) яких складає </w:t>
      </w:r>
      <w:r w:rsidR="00E0512A">
        <w:rPr>
          <w:rFonts w:ascii="Times New Roman" w:eastAsia="Times New Roman" w:hAnsi="Times New Roman" w:cs="Times New Roman"/>
          <w:color w:val="000000"/>
          <w:sz w:val="28"/>
          <w:szCs w:val="28"/>
          <w:bdr w:val="none" w:sz="0" w:space="0" w:color="auto" w:frame="1"/>
          <w:shd w:val="clear" w:color="auto" w:fill="FFFFFF"/>
          <w:lang w:val="uk-UA" w:eastAsia="ru-RU"/>
        </w:rPr>
        <w:t>20000,00</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 гривень включно без урахування податку на додану вартість. Необоротні активи, які були віднесені до складу основних засобів та нематеріальних активів до дати набрання чинності НП(С)БО 121 «Основні засоби» та НП(С)БО 122 «Нематеріальні активи», обліковуються у складі основних засобів та нематеріальних активів до їх вибуття (списання) з обліку установи.</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3. Оприбуткування необоротних активів проводиться гривнях з обов'язковим складанням акта введення в експлуатацію.</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4. Амортизація на основні засоби (крім інших необоротних матеріальних активів), нематеріальних активів нараховується в гривнях з копійками із застосуванням прямолінійного методу. Вартість об'єкта основних засобів розподіляється на систематичній основі протягом строку його корисного використання (експлуатації) шляхом нарахування амортизації </w:t>
      </w:r>
      <w:r w:rsidRPr="00625DE6">
        <w:rPr>
          <w:rFonts w:ascii="Times New Roman" w:eastAsia="Times New Roman" w:hAnsi="Times New Roman" w:cs="Times New Roman"/>
          <w:sz w:val="28"/>
          <w:szCs w:val="28"/>
          <w:bdr w:val="none" w:sz="0" w:space="0" w:color="auto" w:frame="1"/>
          <w:shd w:val="clear" w:color="auto" w:fill="FFFFFF"/>
          <w:lang w:eastAsia="ru-RU"/>
        </w:rPr>
        <w:t>на </w:t>
      </w:r>
      <w:r w:rsidRPr="00625DE6">
        <w:rPr>
          <w:rFonts w:ascii="Times New Roman" w:eastAsia="Times New Roman" w:hAnsi="Times New Roman" w:cs="Times New Roman"/>
          <w:sz w:val="28"/>
          <w:szCs w:val="28"/>
          <w:bdr w:val="none" w:sz="0" w:space="0" w:color="auto" w:frame="1"/>
          <w:shd w:val="clear" w:color="auto" w:fill="FFFFFF"/>
          <w:lang w:val="uk-UA" w:eastAsia="ru-RU"/>
        </w:rPr>
        <w:t> дату балансу (раз у рік) . Для визначення строків користного використання груп основних засобів приймати Типові строки корисного використання груп основних засобів, які визначенні в НП (С) БО</w:t>
      </w:r>
      <w:r w:rsidRPr="00625DE6">
        <w:rPr>
          <w:rFonts w:ascii="Times New Roman" w:eastAsia="Times New Roman" w:hAnsi="Times New Roman" w:cs="Times New Roman"/>
          <w:sz w:val="28"/>
          <w:szCs w:val="28"/>
          <w:bdr w:val="none" w:sz="0" w:space="0" w:color="auto" w:frame="1"/>
          <w:shd w:val="clear" w:color="auto" w:fill="FFFFFF"/>
          <w:lang w:eastAsia="ru-RU"/>
        </w:rPr>
        <w:t>.</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Нарахування амортизації починається з місяця, наступного за місяцем, у якому об'єкт основних засобів став придатним для корисного використання та введений в експлуатацію.</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Для визначення строків корисного використання основних засобів та нематеріальних активів застосовуються Типові строки корисного використання груп основних засобів, які визначені в додатку 1 до Методичних рекомендацій щодо облікової політики суб'єкта державного сектору, затверджених наказом Міністерства фінансів України від 23.01.2015 № 11.</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Амортизація необоротних матеріальних активів нараховується в першому місяці передачі у використання об'єкта необоротних активів у розмірі 50 відсотків його первісної вартості та решта 50 відсотків первісної вартості - у місяці їх вилучення з активів (списання з балансу).</w:t>
      </w:r>
    </w:p>
    <w:p w:rsidR="00625DE6" w:rsidRPr="00625DE6" w:rsidRDefault="00625DE6" w:rsidP="00E0512A">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5. Проведення переоцінки основних засобів здійснюється в разі, коли розмір відхилення залишкової вартості основних засобів від їх справедливої вартості перевищує поріг суттєвості в розмірі 10%. Щодо проведення переоцінки об'єктів основних засобів видається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розпорядження </w:t>
      </w:r>
      <w:r w:rsidR="00E0512A">
        <w:rPr>
          <w:rFonts w:ascii="Times New Roman" w:eastAsia="Times New Roman" w:hAnsi="Times New Roman" w:cs="Times New Roman"/>
          <w:color w:val="000000"/>
          <w:sz w:val="28"/>
          <w:szCs w:val="28"/>
          <w:bdr w:val="none" w:sz="0" w:space="0" w:color="auto" w:frame="1"/>
          <w:shd w:val="clear" w:color="auto" w:fill="FFFFFF"/>
          <w:lang w:val="uk-UA" w:eastAsia="ru-RU"/>
        </w:rPr>
        <w:t>сільського</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голови.</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6. Операції з надходження, руху та вибуття основних засобів та інших необоротних матеріальних активів оформлюються первинними документами, які затверджені  наказом Міністерства фінансів України від 13.09.2016 року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№818,</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зареєстрованим в Міністерстві юстиції України 07.10.2016 за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1336/29466.</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7. Документи аналітичного обліку необоротних активів систематизуються за датами здійснення операцій та заносяться до меморіального ордера № 9. Для контролю за правильністю бухгалтерських записів за рахунками аналітичного обліку складаються оборотні відомості за кожною групою субрахунків.</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8. У бухгалтерському обліку формування інформації про запаси та розкриття відповідної інформації у фінансовій звітності здійснюються відповідно до НП(С)БО «Запаси 123», затвердженого наказом Міністерства фінансів України від 12.10.2010 № 1202, який зареєстрований в Міністерстві</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01.11.2010 за № 1017/18312 та Методичних рекомендацій з бухгалтерського обліку запасів суб'єктів державного сектору, затверджених наказом Міністерства фінансів України від 23.01.2015 № 11.</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9. В якості визначення одиниці обліку запасів використовується їх найменування.</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10. Аналітичний облік запасів ведеться у розрізі матеріально відповідальних осіб, видів зап</w:t>
      </w:r>
      <w:r w:rsidR="00E0512A">
        <w:rPr>
          <w:rFonts w:ascii="Times New Roman" w:eastAsia="Times New Roman" w:hAnsi="Times New Roman" w:cs="Times New Roman"/>
          <w:color w:val="000000"/>
          <w:sz w:val="28"/>
          <w:szCs w:val="28"/>
          <w:bdr w:val="none" w:sz="0" w:space="0" w:color="auto" w:frame="1"/>
          <w:shd w:val="clear" w:color="auto" w:fill="FFFFFF"/>
          <w:lang w:eastAsia="ru-RU"/>
        </w:rPr>
        <w:t>асів, окремо за коштами м</w:t>
      </w:r>
      <w:r w:rsidR="00E0512A">
        <w:rPr>
          <w:rFonts w:ascii="Times New Roman" w:eastAsia="Times New Roman" w:hAnsi="Times New Roman" w:cs="Times New Roman"/>
          <w:color w:val="000000"/>
          <w:sz w:val="28"/>
          <w:szCs w:val="28"/>
          <w:bdr w:val="none" w:sz="0" w:space="0" w:color="auto" w:frame="1"/>
          <w:shd w:val="clear" w:color="auto" w:fill="FFFFFF"/>
          <w:lang w:val="uk-UA" w:eastAsia="ru-RU"/>
        </w:rPr>
        <w:t>ісцевого</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 бюджет</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у</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загального та спеціального фондів. Синтетичний облік запасів ведеться у грошовій одиниці України. Оборотні відомості з метою перевірки правильності записів у регістрах аналітичного обліку матеріальних цінностей та даних синтетичного обліку складаються за всіма субрахунками.</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11. Оприбуткування запасів здійснюється через матеріально –відповідальних осіб.</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12. Оцінка запасів при їх вибутті (внаслідок їх використання або при іншому вибутті) здійснюється </w:t>
      </w:r>
      <w:r w:rsidRPr="00625DE6">
        <w:rPr>
          <w:rFonts w:ascii="Times New Roman" w:eastAsia="Times New Roman" w:hAnsi="Times New Roman" w:cs="Times New Roman"/>
          <w:sz w:val="28"/>
          <w:szCs w:val="28"/>
          <w:bdr w:val="none" w:sz="0" w:space="0" w:color="auto" w:frame="1"/>
          <w:shd w:val="clear" w:color="auto" w:fill="FFFFFF"/>
          <w:lang w:eastAsia="ru-RU"/>
        </w:rPr>
        <w:t>методом середньозваженої собівартості шляхом ділення сумарної вартості залишку таких запасів на початок звітного місяця і вартості одержаних у звітному місяці запасів на сумарну кількість запасів на початок звітного місяця і одержаних у звітному місяці запасів за матеріально відповідальною особою, за якою обліковуються такі запаси, та рівнями аналітичного обліку.</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13. Вартість малоцінних та швидкозношуваних предметів, що передані в експлуатацію, виключається зі складу активів (списується з балансу) з подальшою організацією оперативного кількісного обліку за місцем експлуатації відповідальними особами протягом строку їх фактичного використання.</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14. Операції з надходження, видачі та списання запасів оформлюються первинними документами, які затверджені наказом Держказначейства України «Про затвердження типових форм обліку та списання запасів бюджетних установ та інструкції про їх складання» від 18.12.2000 № 130, який зареєстрований в Міністерстві</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28.12.2000 за № 962/5183.</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15. Для обліку операцій з витрачання матеріалів використовується меморіальний ордер № 13, а для вибуття та переміщення малоцінних та швидкозношуваних предметів - меморіальний ордер № 10. </w:t>
      </w:r>
    </w:p>
    <w:p w:rsidR="00625DE6" w:rsidRPr="00625DE6" w:rsidRDefault="00625DE6" w:rsidP="00625DE6">
      <w:pPr>
        <w:spacing w:after="0" w:line="240" w:lineRule="auto"/>
        <w:jc w:val="center"/>
        <w:rPr>
          <w:rFonts w:ascii="Times New Roman" w:eastAsia="Times New Roman" w:hAnsi="Times New Roman" w:cs="Times New Roman"/>
          <w:sz w:val="24"/>
          <w:szCs w:val="24"/>
          <w:lang w:eastAsia="ru-RU"/>
        </w:rPr>
      </w:pPr>
      <w:r w:rsidRPr="00625DE6">
        <w:rPr>
          <w:rFonts w:ascii="Times New Roman" w:eastAsia="Times New Roman" w:hAnsi="Times New Roman" w:cs="Times New Roman"/>
          <w:b/>
          <w:bCs/>
          <w:color w:val="000000"/>
          <w:sz w:val="28"/>
          <w:szCs w:val="28"/>
          <w:bdr w:val="none" w:sz="0" w:space="0" w:color="auto" w:frame="1"/>
          <w:shd w:val="clear" w:color="auto" w:fill="FFFFFF"/>
          <w:lang w:eastAsia="ru-RU"/>
        </w:rPr>
        <w:t>ІV. Організація обліку коштів, розрахунків, інших активів та зобов'язань.</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1. Кошти бюджетної установи обліковуються на рахунках, відкритих в Держказначейській службі </w:t>
      </w:r>
      <w:r w:rsidR="002A6B67" w:rsidRPr="00625DE6">
        <w:rPr>
          <w:rFonts w:ascii="Times New Roman" w:eastAsia="Times New Roman" w:hAnsi="Times New Roman" w:cs="Times New Roman"/>
          <w:color w:val="000000"/>
          <w:sz w:val="28"/>
          <w:szCs w:val="28"/>
          <w:bdr w:val="none" w:sz="0" w:space="0" w:color="auto" w:frame="1"/>
          <w:shd w:val="clear" w:color="auto" w:fill="FFFFFF"/>
          <w:lang w:eastAsia="ru-RU"/>
        </w:rPr>
        <w:t>України, відповідно</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 до Порядку відкриття та закриття рахунків у національній валюті в органах Державної казначейської служби України, затвердженого наказом Міністерства фінансів України від 22.06.2012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lastRenderedPageBreak/>
        <w:t>№ 758, який зареєстрований в Міністерстві</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юстиції України18.07.2012 за № 1206/21518.</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2. Після отримання товарів, робіт і послуг відповідно до умов взятого бюджетного зобов'язання приймається рішення про їх оплату та надається до Держказначейської служби України платіжне доручення на здійснення платежу з відповідними підтвердними документами.</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3. Списання коштів з рахунків на оплату видатків проводиться відповідно до затвердженого кошторису, за винятком операцій з безспірного списання коштів у випадках, установлених чинним законодавством України</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sz w:val="28"/>
          <w:szCs w:val="28"/>
          <w:bdr w:val="none" w:sz="0" w:space="0" w:color="auto" w:frame="1"/>
          <w:shd w:val="clear" w:color="auto" w:fill="FFFFFF"/>
          <w:lang w:val="uk-UA" w:eastAsia="ru-RU"/>
        </w:rPr>
        <w:t>4. Облік</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операцій з надходження бюджетних асигнувань загального фонду міського бюджету  та здійснення видатків ведеться у меморіальному ордері № 2, які нумерують окремо за кожною бюджетною програмою.</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5. Усі господарські відносини бюджетної установи з постачальниками товарів, робіт та послуг, покупцями, замовниками оформляються договорами. Договори укладаються з урахуванням вимог Господарського кодексу України, Цивільного кодексу України, Бюджетного кодексу України, Закону України «Про здійснення державних закупівель».</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6. Договори укладаються (крім довгострокових) виключно в межах бюджетних асигнувань, установлених кошторисами. Розрахунки з юридичними та фізичними особами (крім розрахунків з підзвітними особами) за товари, роботи та послуги здійснюються після їх отримання. Попередня оплата товарів, робіт та послуг дозволяється виключно у випадках, визначених постановою Кабінету Міністрів України від 23.04.2014 № 117 «Про здійснення попередньої оплати товарів, робіт і послуг, що закуповуються за бюджетні кошти».</w:t>
      </w:r>
    </w:p>
    <w:p w:rsidR="00625DE6" w:rsidRPr="00625DE6" w:rsidRDefault="00625DE6" w:rsidP="00E0512A">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7. Для обліку операцій з попередньої оплати рахунків постачальників за матеріальні цінності </w:t>
      </w:r>
      <w:r w:rsidR="006B7053" w:rsidRPr="00625DE6">
        <w:rPr>
          <w:rFonts w:ascii="Times New Roman" w:eastAsia="Times New Roman" w:hAnsi="Times New Roman" w:cs="Times New Roman"/>
          <w:color w:val="000000"/>
          <w:sz w:val="28"/>
          <w:szCs w:val="28"/>
          <w:bdr w:val="none" w:sz="0" w:space="0" w:color="auto" w:frame="1"/>
          <w:shd w:val="clear" w:color="auto" w:fill="FFFFFF"/>
          <w:lang w:eastAsia="ru-RU"/>
        </w:rPr>
        <w:t>або послуги</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 (відшкодування за телекомунікаційні послуги, тощо), оплата за які очікується в майбутньому, застосовується субрахунок 2111 «Розрахунки з </w:t>
      </w:r>
      <w:r w:rsidR="006B7053">
        <w:rPr>
          <w:rFonts w:ascii="Times New Roman" w:eastAsia="Times New Roman" w:hAnsi="Times New Roman" w:cs="Times New Roman"/>
          <w:color w:val="000000"/>
          <w:sz w:val="28"/>
          <w:szCs w:val="28"/>
          <w:bdr w:val="none" w:sz="0" w:space="0" w:color="auto" w:frame="1"/>
          <w:shd w:val="clear" w:color="auto" w:fill="FFFFFF"/>
          <w:lang w:val="uk-UA" w:eastAsia="ru-RU"/>
        </w:rPr>
        <w:t>покупцями та замовниками»</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Аналітичний облік розрахунків з дебіторами ведеться в меморіальному ордері № 4.</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8. Для обліку операцій по розрахункам за отримані матеріальні цінності та надані послуги застосовується субрахунок 6211 «Розрахунки з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постачальниками та підрядниками</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 та субрахунок 6415 «Розрахунки з іншими кредиторами»</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Аналітичний облік розрахунків із кредиторами ведеться в меморіальному ордері № 6.</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Накопичувальні відомості складаються в розрізі кодів економічної класифікації видатків. Записи в них здійснюються позиційним методом - за кожною операцією, що підтверджена відповідним документом (платіжним дорученням, рахунком-фактурою тощо).</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9. Формування в бухгалтерському обліку інформації про зобов'язання та розкриття їх у фінансовій звітності здійснюється відповідно до вимог НП(С)БО у державному секторі 128 «Зобов'язання», затвердженого наказом Мінфіну України від 24.12.2010 № 1629, зареєстрованого в Міністерствіюстиції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20.01.2011 за № 87/18825та Порядку бухгалтерського обліку окремих активів та зобов'язань бюджетних установ, затвердженого наказом Міністерства фінансів України від 02.04.2014 № 372, зареєстрованого в Міністерстві</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16.04.2014 за № 426/25203.</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lastRenderedPageBreak/>
        <w:t>Облік бюджетних зобов'язань здійснюється відповідно до вимог Бюджетного кодексу України,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затвердженого наказом Міністерства фінансів України від 02.03.2012 № 309, який зареєстрований в Міністерствіюстиції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20.03.2012 за № 419/20732.</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10. Бюджетна установа бере бюджетні зобов'язання та здійснює платежі тільки в межах бюджетних асигнувань, передбачених кошторисами, враховуючи необхідність виконання бюджетних зобов'язань минулих років, узятих на облік органами Казначейства.</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Бюджетні зобов'язання за спеціальним фондом бюджету беруться виключно в межах відповідних фактичних надходжень спеціального фонду бюджету.</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Будь-які бюджетні зобов'язання та платежі з бюджету здійснюються лише за наявності відповідного бюджетного призначення.</w:t>
      </w:r>
    </w:p>
    <w:p w:rsidR="00625DE6" w:rsidRPr="00625DE6" w:rsidRDefault="00625DE6" w:rsidP="00625DE6">
      <w:pPr>
        <w:spacing w:after="0" w:line="240" w:lineRule="auto"/>
        <w:rPr>
          <w:rFonts w:ascii="Times New Roman" w:eastAsia="Times New Roman" w:hAnsi="Times New Roman" w:cs="Times New Roman"/>
          <w:sz w:val="24"/>
          <w:szCs w:val="24"/>
          <w:lang w:eastAsia="ru-RU"/>
        </w:rPr>
      </w:pPr>
      <w:r w:rsidRPr="00625DE6">
        <w:rPr>
          <w:rFonts w:ascii="Times New Roman" w:eastAsia="Times New Roman" w:hAnsi="Times New Roman" w:cs="Times New Roman"/>
          <w:b/>
          <w:bCs/>
          <w:color w:val="000000"/>
          <w:sz w:val="28"/>
          <w:szCs w:val="28"/>
          <w:bdr w:val="none" w:sz="0" w:space="0" w:color="auto" w:frame="1"/>
          <w:shd w:val="clear" w:color="auto" w:fill="FFFFFF"/>
          <w:lang w:eastAsia="ru-RU"/>
        </w:rPr>
        <w:t>V. Організація обліку доходів </w:t>
      </w:r>
      <w:r w:rsidRPr="00625DE6">
        <w:rPr>
          <w:rFonts w:ascii="Times New Roman" w:eastAsia="Times New Roman" w:hAnsi="Times New Roman" w:cs="Times New Roman"/>
          <w:b/>
          <w:bCs/>
          <w:color w:val="000000"/>
          <w:sz w:val="28"/>
          <w:szCs w:val="28"/>
          <w:bdr w:val="none" w:sz="0" w:space="0" w:color="auto" w:frame="1"/>
          <w:shd w:val="clear" w:color="auto" w:fill="FFFFFF"/>
          <w:lang w:val="uk-UA" w:eastAsia="ru-RU"/>
        </w:rPr>
        <w:t>та </w:t>
      </w:r>
      <w:r w:rsidRPr="00625DE6">
        <w:rPr>
          <w:rFonts w:ascii="Times New Roman" w:eastAsia="Times New Roman" w:hAnsi="Times New Roman" w:cs="Times New Roman"/>
          <w:b/>
          <w:bCs/>
          <w:color w:val="000000"/>
          <w:sz w:val="28"/>
          <w:szCs w:val="28"/>
          <w:bdr w:val="none" w:sz="0" w:space="0" w:color="auto" w:frame="1"/>
          <w:shd w:val="clear" w:color="auto" w:fill="FFFFFF"/>
          <w:lang w:eastAsia="ru-RU"/>
        </w:rPr>
        <w:t>видатків</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1. Облік доходів, які в кошторисі відносяться до доходів загального фонду міського бюджету, ведеться на субрахунку 701</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1</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Бюджетні а</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сигнування»,</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Для аналітичного обліку отриманих асигнувань використовується Картка аналітичного обліку відкритих асигнувань за формою, затверджена наказом Держказначейства від 06.10.2000 №100, який зареєстрований в Міністерстві</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юстиції України</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25.10.2000 за № 747/4968. Картка ведеться в розрізі кодів економічної класифікації видатків окремо за кожним кодом програмної класифікації видатків.</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2. Касові видатки відображаються в обліку в момент одержання коштів або перерахування коштів з поточного бюджетного рахунка.</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3. Делегувати право підпису грошово – розрахункових документів, господарських документів на придбання та використання основних засобів та інших нематеріальних активів, банківських та фінансових документів, чеків по виконанню кошторису доходів та видатків установи:</w:t>
      </w:r>
    </w:p>
    <w:p w:rsidR="00625DE6" w:rsidRPr="00340D3F" w:rsidRDefault="00625DE6" w:rsidP="00340D3F">
      <w:pPr>
        <w:spacing w:after="0" w:line="240" w:lineRule="auto"/>
        <w:ind w:left="1276"/>
        <w:rPr>
          <w:rFonts w:ascii="Times New Roman" w:eastAsia="Times New Roman" w:hAnsi="Times New Roman" w:cs="Times New Roman"/>
          <w:color w:val="000000" w:themeColor="text1"/>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3.1. Першого – </w:t>
      </w:r>
      <w:r w:rsidR="006B7053" w:rsidRPr="00340D3F">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директора централізованої</w:t>
      </w:r>
      <w:r w:rsidR="00340D3F" w:rsidRPr="00340D3F">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бухгалтерії</w:t>
      </w:r>
    </w:p>
    <w:p w:rsidR="00625DE6" w:rsidRPr="00625DE6" w:rsidRDefault="00340D3F" w:rsidP="00625DE6">
      <w:pPr>
        <w:spacing w:after="0" w:line="240" w:lineRule="auto"/>
        <w:ind w:left="1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00625DE6">
        <w:rPr>
          <w:rFonts w:ascii="Times New Roman" w:eastAsia="Times New Roman" w:hAnsi="Times New Roman" w:cs="Times New Roman"/>
          <w:color w:val="000000"/>
          <w:sz w:val="28"/>
          <w:szCs w:val="28"/>
          <w:bdr w:val="none" w:sz="0" w:space="0" w:color="auto" w:frame="1"/>
          <w:shd w:val="clear" w:color="auto" w:fill="FFFFFF"/>
          <w:lang w:val="uk-UA" w:eastAsia="ru-RU"/>
        </w:rPr>
        <w:t>3.2. Другого</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00625DE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  головного бухгалтера.</w:t>
      </w:r>
    </w:p>
    <w:p w:rsidR="00625DE6" w:rsidRPr="00625DE6" w:rsidRDefault="00625DE6" w:rsidP="00625DE6">
      <w:pPr>
        <w:spacing w:after="0" w:line="240" w:lineRule="auto"/>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3.3. Забезпечити подання картки із зразками підпису в установи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банку та казначейства з правом двох перших та двох других підписів.</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4. </w:t>
      </w:r>
      <w:r w:rsidRPr="00625DE6">
        <w:rPr>
          <w:rFonts w:ascii="Times New Roman" w:eastAsia="Times New Roman" w:hAnsi="Times New Roman" w:cs="Times New Roman"/>
          <w:sz w:val="28"/>
          <w:szCs w:val="28"/>
          <w:bdr w:val="none" w:sz="0" w:space="0" w:color="auto" w:frame="1"/>
          <w:shd w:val="clear" w:color="auto" w:fill="FFFFFF"/>
          <w:lang w:eastAsia="ru-RU"/>
        </w:rPr>
        <w:t xml:space="preserve">Заробітна плата </w:t>
      </w:r>
      <w:r w:rsidR="006B7053" w:rsidRPr="00625DE6">
        <w:rPr>
          <w:rFonts w:ascii="Times New Roman" w:eastAsia="Times New Roman" w:hAnsi="Times New Roman" w:cs="Times New Roman"/>
          <w:sz w:val="28"/>
          <w:szCs w:val="28"/>
          <w:bdr w:val="none" w:sz="0" w:space="0" w:color="auto" w:frame="1"/>
          <w:shd w:val="clear" w:color="auto" w:fill="FFFFFF"/>
          <w:lang w:eastAsia="ru-RU"/>
        </w:rPr>
        <w:t>працівникам </w:t>
      </w:r>
      <w:r w:rsidR="009D3634">
        <w:rPr>
          <w:rFonts w:ascii="Times New Roman" w:eastAsia="Times New Roman" w:hAnsi="Times New Roman" w:cs="Times New Roman"/>
          <w:sz w:val="28"/>
          <w:szCs w:val="28"/>
          <w:bdr w:val="none" w:sz="0" w:space="0" w:color="auto" w:frame="1"/>
          <w:shd w:val="clear" w:color="auto" w:fill="FFFFFF"/>
          <w:lang w:val="uk-UA" w:eastAsia="ru-RU"/>
        </w:rPr>
        <w:t>Самгородоцбкої</w:t>
      </w:r>
      <w:bookmarkStart w:id="0" w:name="_GoBack"/>
      <w:bookmarkEnd w:id="0"/>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сільської ради</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625DE6">
        <w:rPr>
          <w:rFonts w:ascii="Times New Roman" w:eastAsia="Times New Roman" w:hAnsi="Times New Roman" w:cs="Times New Roman"/>
          <w:sz w:val="28"/>
          <w:szCs w:val="28"/>
          <w:bdr w:val="none" w:sz="0" w:space="0" w:color="auto" w:frame="1"/>
          <w:shd w:val="clear" w:color="auto" w:fill="FFFFFF"/>
          <w:lang w:eastAsia="ru-RU"/>
        </w:rPr>
        <w:t>нараховується відповідно до Законів України, постанов Кабінету Міністрів України, штатного розпису, </w:t>
      </w:r>
      <w:r w:rsidRPr="00625DE6">
        <w:rPr>
          <w:rFonts w:ascii="Times New Roman" w:eastAsia="Times New Roman" w:hAnsi="Times New Roman" w:cs="Times New Roman"/>
          <w:sz w:val="28"/>
          <w:szCs w:val="28"/>
          <w:bdr w:val="none" w:sz="0" w:space="0" w:color="auto" w:frame="1"/>
          <w:shd w:val="clear" w:color="auto" w:fill="FFFFFF"/>
          <w:lang w:val="uk-UA" w:eastAsia="ru-RU"/>
        </w:rPr>
        <w:t xml:space="preserve">розпоряджень міського </w:t>
      </w:r>
      <w:r w:rsidR="002A6B67" w:rsidRPr="00625DE6">
        <w:rPr>
          <w:rFonts w:ascii="Times New Roman" w:eastAsia="Times New Roman" w:hAnsi="Times New Roman" w:cs="Times New Roman"/>
          <w:sz w:val="28"/>
          <w:szCs w:val="28"/>
          <w:bdr w:val="none" w:sz="0" w:space="0" w:color="auto" w:frame="1"/>
          <w:shd w:val="clear" w:color="auto" w:fill="FFFFFF"/>
          <w:lang w:val="uk-UA" w:eastAsia="ru-RU"/>
        </w:rPr>
        <w:t>голови.</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Виплата заробітної плати працівникам за першу половину місяця проводиться 15-го числа кожного місяця, а за другу половину </w:t>
      </w:r>
      <w:r w:rsidR="002A6B67" w:rsidRPr="00625DE6">
        <w:rPr>
          <w:rFonts w:ascii="Times New Roman" w:eastAsia="Times New Roman" w:hAnsi="Times New Roman" w:cs="Times New Roman"/>
          <w:color w:val="000000"/>
          <w:sz w:val="28"/>
          <w:szCs w:val="28"/>
          <w:bdr w:val="none" w:sz="0" w:space="0" w:color="auto" w:frame="1"/>
          <w:shd w:val="clear" w:color="auto" w:fill="FFFFFF"/>
          <w:lang w:eastAsia="ru-RU"/>
        </w:rPr>
        <w:t>місяця</w:t>
      </w:r>
      <w:r w:rsidR="002A6B67" w:rsidRPr="00625DE6">
        <w:rPr>
          <w:rFonts w:ascii="Times New Roman" w:eastAsia="Times New Roman" w:hAnsi="Times New Roman" w:cs="Times New Roman"/>
          <w:sz w:val="24"/>
          <w:szCs w:val="24"/>
          <w:bdr w:val="none" w:sz="0" w:space="0" w:color="auto" w:frame="1"/>
          <w:shd w:val="clear" w:color="auto" w:fill="FFFFFF"/>
          <w:lang w:eastAsia="ru-RU"/>
        </w:rPr>
        <w:t> </w:t>
      </w:r>
      <w:r w:rsidR="002A6B67" w:rsidRPr="00625DE6">
        <w:rPr>
          <w:rFonts w:ascii="Times New Roman" w:eastAsia="Times New Roman" w:hAnsi="Times New Roman" w:cs="Times New Roman"/>
          <w:color w:val="000000"/>
          <w:sz w:val="28"/>
          <w:szCs w:val="28"/>
          <w:bdr w:val="none" w:sz="0" w:space="0" w:color="auto" w:frame="1"/>
          <w:shd w:val="clear" w:color="auto" w:fill="FFFFFF"/>
          <w:lang w:eastAsia="ru-RU"/>
        </w:rPr>
        <w:t>–</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30</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-го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(31-</w:t>
      </w:r>
      <w:r w:rsidR="002A6B67"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го) числа</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місяця.</w:t>
      </w:r>
    </w:p>
    <w:p w:rsidR="00625DE6" w:rsidRPr="00625DE6" w:rsidRDefault="00625DE6" w:rsidP="00340D3F">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5. Службовим відрядженням вважається поїздка за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розпорядженням </w:t>
      </w:r>
      <w:r w:rsidR="00340D3F">
        <w:rPr>
          <w:rFonts w:ascii="Times New Roman" w:eastAsia="Times New Roman" w:hAnsi="Times New Roman" w:cs="Times New Roman"/>
          <w:color w:val="000000"/>
          <w:sz w:val="28"/>
          <w:szCs w:val="28"/>
          <w:bdr w:val="none" w:sz="0" w:space="0" w:color="auto" w:frame="1"/>
          <w:shd w:val="clear" w:color="auto" w:fill="FFFFFF"/>
          <w:lang w:val="uk-UA" w:eastAsia="ru-RU"/>
        </w:rPr>
        <w:t>директора н</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а певний термін до іншого населеного пункту для виконання службового доручення.</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Направлення працівників у відрядження та відшкодування витрат здійснюються відповідно до постанови Кабінету Міністрів України від 02.02.2011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lastRenderedPageBreak/>
        <w:t>коштів», Інструкції про службові відрядження в межах України та за кордон, затвердженою наказом Міністерства фінансів України від 13.03.1998 № 59 (із змінами), зареєстрованого в Міністерствіюстиції України31.03.1998 за № 218/2658.</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Облік розрахунків з підзвітними особами по видатках на відрядження ведеться на субрахунку 2116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Дебіторська заборгованість з р</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озрахунки з підзвітними особами».</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Операції по розрахунках з підзвітними особами ведуться в розрізі кодів економічної класифікації видатків та в накопичувальній відомості - меморіальному ордері № 8.</w:t>
      </w:r>
    </w:p>
    <w:p w:rsidR="00625DE6" w:rsidRPr="00625DE6" w:rsidRDefault="00625DE6" w:rsidP="007E2DF1">
      <w:pPr>
        <w:spacing w:after="0" w:line="240" w:lineRule="auto"/>
        <w:jc w:val="both"/>
        <w:rPr>
          <w:rFonts w:ascii="Times New Roman" w:eastAsia="Times New Roman" w:hAnsi="Times New Roman" w:cs="Times New Roman"/>
          <w:sz w:val="24"/>
          <w:szCs w:val="24"/>
          <w:lang w:val="uk-UA"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6. 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 </w:t>
      </w:r>
      <w:r w:rsidR="009D3634">
        <w:rPr>
          <w:rFonts w:ascii="Times New Roman" w:eastAsia="Times New Roman" w:hAnsi="Times New Roman" w:cs="Times New Roman"/>
          <w:color w:val="000000"/>
          <w:sz w:val="28"/>
          <w:szCs w:val="28"/>
          <w:bdr w:val="none" w:sz="0" w:space="0" w:color="auto" w:frame="1"/>
          <w:shd w:val="clear" w:color="auto" w:fill="FFFFFF"/>
          <w:lang w:val="uk-UA" w:eastAsia="ru-RU"/>
        </w:rPr>
        <w:t>Самгородоцька сільська рада</w:t>
      </w:r>
      <w:r w:rsidR="006B705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не є платником ПДВ.</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7. Кошти повинні використовуватися тільки на цілі, передбачені бюджетними призначеннями по напрямах, визначених у паспорті бюджетної програми.</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8. Інвентаризація активів і зобов'язань проводиться </w:t>
      </w:r>
      <w:r w:rsidRPr="00625DE6">
        <w:rPr>
          <w:rFonts w:ascii="Times New Roman" w:eastAsia="Times New Roman" w:hAnsi="Times New Roman" w:cs="Times New Roman"/>
          <w:color w:val="000000"/>
          <w:sz w:val="28"/>
          <w:szCs w:val="28"/>
          <w:bdr w:val="none" w:sz="0" w:space="0" w:color="auto" w:frame="1"/>
          <w:shd w:val="clear" w:color="auto" w:fill="FFFFFF"/>
          <w:lang w:val="uk-UA" w:eastAsia="ru-RU"/>
        </w:rPr>
        <w:t>щорічно станом на 01 листопада (01 грудня)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з метою забезпечення достовірності даних бухгалтерського обліку та фінансової звітності.</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Під час інвентаризації активів і зобов'язань перевіряються і документально підтверджуються їх фактична наявність, стан, відповідність критеріям, повнота відображення зобов'язань, виявляються лишки або нестачі активів шляхом зіставляння фактичної наявності з даними бухгалтерського обліку.</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У ході проведення інвентаризації виявляються активи, які частково втратили свою первісну якість, а також матеріальні і нематеріальні активи, що не використовуються.</w:t>
      </w:r>
    </w:p>
    <w:p w:rsidR="00625DE6" w:rsidRPr="00625DE6" w:rsidRDefault="00625DE6" w:rsidP="00625DE6">
      <w:pPr>
        <w:spacing w:after="0" w:line="240" w:lineRule="auto"/>
        <w:jc w:val="both"/>
        <w:rPr>
          <w:rFonts w:ascii="Times New Roman" w:eastAsia="Times New Roman" w:hAnsi="Times New Roman" w:cs="Times New Roman"/>
          <w:sz w:val="24"/>
          <w:szCs w:val="24"/>
          <w:lang w:eastAsia="ru-RU"/>
        </w:rPr>
      </w:pPr>
      <w:r w:rsidRPr="00625DE6">
        <w:rPr>
          <w:rFonts w:ascii="Times New Roman" w:eastAsia="Times New Roman" w:hAnsi="Times New Roman" w:cs="Times New Roman"/>
          <w:color w:val="000000"/>
          <w:sz w:val="28"/>
          <w:szCs w:val="28"/>
          <w:bdr w:val="none" w:sz="0" w:space="0" w:color="auto" w:frame="1"/>
          <w:shd w:val="clear" w:color="auto" w:fill="FFFFFF"/>
          <w:lang w:eastAsia="ru-RU"/>
        </w:rPr>
        <w:t>Інвентаризація проводиться у випадках та у терміни, що визначені Положенням про інвентаризацію активів та зобов'язань, затвердженим наказом Міністерства фінансів України від 02.09.2014 № 879, зареєстрованого в Міністерстві</w:t>
      </w:r>
      <w:r w:rsidRPr="00625DE6">
        <w:rPr>
          <w:rFonts w:ascii="Times New Roman" w:eastAsia="Times New Roman" w:hAnsi="Times New Roman" w:cs="Times New Roman"/>
          <w:sz w:val="24"/>
          <w:szCs w:val="24"/>
          <w:bdr w:val="none" w:sz="0" w:space="0" w:color="auto" w:frame="1"/>
          <w:shd w:val="clear" w:color="auto" w:fill="FFFFFF"/>
          <w:lang w:eastAsia="ru-RU"/>
        </w:rPr>
        <w:t> </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юстиції України30.10.2014 за № 1365/26142, в якому визначено терміни її проведення та затверджено склад комісії.</w:t>
      </w:r>
    </w:p>
    <w:p w:rsidR="00625DE6" w:rsidRDefault="00625DE6" w:rsidP="00625DE6">
      <w:pPr>
        <w:spacing w:after="0" w:line="240" w:lineRule="auto"/>
        <w:jc w:val="both"/>
        <w:rPr>
          <w:rFonts w:asciiTheme="majorBidi" w:eastAsia="Times New Roman" w:hAnsiTheme="majorBidi" w:cstheme="majorBidi"/>
          <w:color w:val="000000"/>
          <w:sz w:val="28"/>
          <w:szCs w:val="28"/>
          <w:bdr w:val="none" w:sz="0" w:space="0" w:color="auto" w:frame="1"/>
          <w:shd w:val="clear" w:color="auto" w:fill="FFFFFF"/>
          <w:lang w:eastAsia="ru-RU"/>
        </w:rPr>
      </w:pPr>
      <w:r w:rsidRPr="00625DE6">
        <w:rPr>
          <w:rFonts w:ascii="Times New Roman" w:eastAsia="Times New Roman" w:hAnsi="Times New Roman" w:cs="Times New Roman"/>
          <w:sz w:val="28"/>
          <w:szCs w:val="28"/>
          <w:bdr w:val="none" w:sz="0" w:space="0" w:color="auto" w:frame="1"/>
          <w:shd w:val="clear" w:color="auto" w:fill="FFFFFF"/>
          <w:lang w:eastAsia="ru-RU"/>
        </w:rPr>
        <w:t>9.Фінансова та бюджетна звітність складається на підставі даних бухгалтерського обліку відповідно до ст. 58 Бюджетного кодексу України,</w:t>
      </w:r>
      <w:r w:rsidRPr="00625DE6">
        <w:rPr>
          <w:rFonts w:ascii="Times New Roman" w:eastAsia="Times New Roman" w:hAnsi="Times New Roman" w:cs="Times New Roman"/>
          <w:color w:val="000000"/>
          <w:sz w:val="28"/>
          <w:szCs w:val="28"/>
          <w:bdr w:val="none" w:sz="0" w:space="0" w:color="auto" w:frame="1"/>
          <w:shd w:val="clear" w:color="auto" w:fill="FFFFFF"/>
          <w:lang w:eastAsia="ru-RU"/>
        </w:rPr>
        <w:t xml:space="preserve"> Порядку подання фінансової звітності, затвердженого постановою Кабінету Міністрів України від 28.02.2000 № 419, Порядку складання фінансової, бюджетної та іншої звітності розпорядниками та одержувачами бюджетних коштів, затвердженого наказом Міністерства фінансів України від </w:t>
      </w:r>
      <w:r w:rsidRPr="00340D3F">
        <w:rPr>
          <w:rFonts w:asciiTheme="majorBidi" w:eastAsia="Times New Roman" w:hAnsiTheme="majorBidi" w:cstheme="majorBidi"/>
          <w:color w:val="000000"/>
          <w:sz w:val="28"/>
          <w:szCs w:val="28"/>
          <w:bdr w:val="none" w:sz="0" w:space="0" w:color="auto" w:frame="1"/>
          <w:shd w:val="clear" w:color="auto" w:fill="FFFFFF"/>
          <w:lang w:eastAsia="ru-RU"/>
        </w:rPr>
        <w:t>24.01.2012 № 44, який зареєстрований в Міністерстві</w:t>
      </w:r>
      <w:r w:rsidRPr="00340D3F">
        <w:rPr>
          <w:rFonts w:asciiTheme="majorBidi" w:eastAsia="Times New Roman" w:hAnsiTheme="majorBidi" w:cstheme="majorBidi"/>
          <w:sz w:val="28"/>
          <w:szCs w:val="28"/>
          <w:bdr w:val="none" w:sz="0" w:space="0" w:color="auto" w:frame="1"/>
          <w:shd w:val="clear" w:color="auto" w:fill="FFFFFF"/>
          <w:lang w:eastAsia="ru-RU"/>
        </w:rPr>
        <w:t> </w:t>
      </w:r>
      <w:r w:rsidRPr="00340D3F">
        <w:rPr>
          <w:rFonts w:asciiTheme="majorBidi" w:eastAsia="Times New Roman" w:hAnsiTheme="majorBidi" w:cstheme="majorBidi"/>
          <w:color w:val="000000"/>
          <w:sz w:val="28"/>
          <w:szCs w:val="28"/>
          <w:bdr w:val="none" w:sz="0" w:space="0" w:color="auto" w:frame="1"/>
          <w:shd w:val="clear" w:color="auto" w:fill="FFFFFF"/>
          <w:lang w:eastAsia="ru-RU"/>
        </w:rPr>
        <w:t>юстиції України</w:t>
      </w:r>
      <w:r w:rsidRPr="00340D3F">
        <w:rPr>
          <w:rFonts w:asciiTheme="majorBidi" w:eastAsia="Times New Roman" w:hAnsiTheme="majorBidi" w:cstheme="majorBidi"/>
          <w:sz w:val="28"/>
          <w:szCs w:val="28"/>
          <w:bdr w:val="none" w:sz="0" w:space="0" w:color="auto" w:frame="1"/>
          <w:shd w:val="clear" w:color="auto" w:fill="FFFFFF"/>
          <w:lang w:eastAsia="ru-RU"/>
        </w:rPr>
        <w:t> </w:t>
      </w:r>
      <w:r w:rsidRPr="00340D3F">
        <w:rPr>
          <w:rFonts w:asciiTheme="majorBidi" w:eastAsia="Times New Roman" w:hAnsiTheme="majorBidi" w:cstheme="majorBidi"/>
          <w:color w:val="000000"/>
          <w:sz w:val="28"/>
          <w:szCs w:val="28"/>
          <w:bdr w:val="none" w:sz="0" w:space="0" w:color="auto" w:frame="1"/>
          <w:shd w:val="clear" w:color="auto" w:fill="FFFFFF"/>
          <w:lang w:eastAsia="ru-RU"/>
        </w:rPr>
        <w:t>30.10.2014 за № 196/20509, для отримання інформації про фактичне становище, результати діяльності та рух грошових коштів. Звітність подається до Держказначейської служби України у визначені терміни. </w:t>
      </w:r>
    </w:p>
    <w:p w:rsidR="00340D3F" w:rsidRPr="00340D3F" w:rsidRDefault="00340D3F" w:rsidP="00625DE6">
      <w:pPr>
        <w:spacing w:after="0" w:line="240" w:lineRule="auto"/>
        <w:jc w:val="both"/>
        <w:rPr>
          <w:rFonts w:asciiTheme="majorBidi" w:eastAsia="Times New Roman" w:hAnsiTheme="majorBidi" w:cstheme="majorBidi"/>
          <w:sz w:val="28"/>
          <w:szCs w:val="28"/>
          <w:lang w:eastAsia="ru-RU"/>
        </w:rPr>
      </w:pPr>
    </w:p>
    <w:p w:rsidR="00340D3F" w:rsidRDefault="00340D3F" w:rsidP="00340D3F">
      <w:pPr>
        <w:shd w:val="clear" w:color="auto" w:fill="FFFFFF"/>
        <w:spacing w:after="0" w:line="240" w:lineRule="auto"/>
        <w:jc w:val="center"/>
        <w:rPr>
          <w:rFonts w:asciiTheme="majorBidi" w:eastAsia="Times New Roman" w:hAnsiTheme="majorBidi" w:cstheme="majorBidi"/>
          <w:b/>
          <w:bCs/>
          <w:color w:val="544645"/>
          <w:sz w:val="28"/>
          <w:szCs w:val="28"/>
          <w:lang w:eastAsia="ru-RU"/>
        </w:rPr>
      </w:pPr>
      <w:r>
        <w:rPr>
          <w:rFonts w:asciiTheme="majorBidi" w:eastAsia="Times New Roman" w:hAnsiTheme="majorBidi" w:cstheme="majorBidi"/>
          <w:b/>
          <w:bCs/>
          <w:color w:val="544645"/>
          <w:sz w:val="28"/>
          <w:szCs w:val="28"/>
          <w:lang w:val="en-US" w:eastAsia="ru-RU"/>
        </w:rPr>
        <w:t>VI</w:t>
      </w:r>
      <w:r w:rsidRPr="00340D3F">
        <w:rPr>
          <w:rFonts w:asciiTheme="majorBidi" w:eastAsia="Times New Roman" w:hAnsiTheme="majorBidi" w:cstheme="majorBidi"/>
          <w:b/>
          <w:bCs/>
          <w:color w:val="544645"/>
          <w:sz w:val="28"/>
          <w:szCs w:val="28"/>
          <w:lang w:eastAsia="ru-RU"/>
        </w:rPr>
        <w:t xml:space="preserve"> Відповідальність</w:t>
      </w:r>
    </w:p>
    <w:p w:rsidR="008A5544" w:rsidRPr="00340D3F" w:rsidRDefault="008A5544" w:rsidP="00340D3F">
      <w:pPr>
        <w:shd w:val="clear" w:color="auto" w:fill="FFFFFF"/>
        <w:spacing w:after="0" w:line="240" w:lineRule="auto"/>
        <w:jc w:val="center"/>
        <w:rPr>
          <w:rFonts w:asciiTheme="majorBidi" w:eastAsia="Times New Roman" w:hAnsiTheme="majorBidi" w:cstheme="majorBidi"/>
          <w:color w:val="544645"/>
          <w:sz w:val="28"/>
          <w:szCs w:val="28"/>
          <w:lang w:eastAsia="ru-RU"/>
        </w:rPr>
      </w:pPr>
    </w:p>
    <w:p w:rsidR="00340D3F" w:rsidRDefault="00340D3F" w:rsidP="00340D3F">
      <w:pPr>
        <w:shd w:val="clear" w:color="auto" w:fill="FFFFFF"/>
        <w:spacing w:after="0" w:line="240" w:lineRule="auto"/>
        <w:rPr>
          <w:rFonts w:asciiTheme="majorBidi" w:eastAsia="Times New Roman" w:hAnsiTheme="majorBidi" w:cstheme="majorBidi"/>
          <w:color w:val="212121"/>
          <w:sz w:val="28"/>
          <w:szCs w:val="28"/>
          <w:lang w:eastAsia="ru-RU"/>
        </w:rPr>
      </w:pPr>
      <w:r w:rsidRPr="00340D3F">
        <w:rPr>
          <w:rFonts w:asciiTheme="majorBidi" w:eastAsia="Times New Roman" w:hAnsiTheme="majorBidi" w:cstheme="majorBidi"/>
          <w:color w:val="212121"/>
          <w:sz w:val="28"/>
          <w:szCs w:val="28"/>
          <w:lang w:eastAsia="ru-RU"/>
        </w:rPr>
        <w:t xml:space="preserve">4.1. </w:t>
      </w:r>
      <w:r w:rsidR="00D62071">
        <w:rPr>
          <w:rFonts w:asciiTheme="majorBidi" w:eastAsia="Times New Roman" w:hAnsiTheme="majorBidi" w:cstheme="majorBidi"/>
          <w:color w:val="212121"/>
          <w:sz w:val="28"/>
          <w:szCs w:val="28"/>
          <w:lang w:val="uk-UA" w:eastAsia="ru-RU"/>
        </w:rPr>
        <w:t xml:space="preserve">Відділ бухгалтерського обліку Самгородоцької сільської ради </w:t>
      </w:r>
      <w:r w:rsidRPr="00340D3F">
        <w:rPr>
          <w:rFonts w:asciiTheme="majorBidi" w:eastAsia="Times New Roman" w:hAnsiTheme="majorBidi" w:cstheme="majorBidi"/>
          <w:color w:val="212121"/>
          <w:sz w:val="28"/>
          <w:szCs w:val="28"/>
          <w:lang w:eastAsia="ru-RU"/>
        </w:rPr>
        <w:t>несе відповідальність за забезпечення якісного виконання покладених на неї завдань і функцій, правильний та чіткий порядок роботи, трудову і виконавську дисципліну.</w:t>
      </w:r>
    </w:p>
    <w:p w:rsidR="008A5544" w:rsidRDefault="008A5544" w:rsidP="00340D3F">
      <w:pPr>
        <w:shd w:val="clear" w:color="auto" w:fill="FFFFFF"/>
        <w:spacing w:after="0" w:line="240" w:lineRule="auto"/>
        <w:rPr>
          <w:rFonts w:asciiTheme="majorBidi" w:eastAsia="Times New Roman" w:hAnsiTheme="majorBidi" w:cstheme="majorBidi"/>
          <w:color w:val="212121"/>
          <w:sz w:val="28"/>
          <w:szCs w:val="28"/>
          <w:lang w:eastAsia="ru-RU"/>
        </w:rPr>
      </w:pPr>
    </w:p>
    <w:p w:rsidR="008A5544" w:rsidRPr="00340D3F" w:rsidRDefault="008A5544" w:rsidP="00340D3F">
      <w:pPr>
        <w:shd w:val="clear" w:color="auto" w:fill="FFFFFF"/>
        <w:spacing w:after="0" w:line="240" w:lineRule="auto"/>
        <w:rPr>
          <w:rFonts w:asciiTheme="majorBidi" w:eastAsia="Times New Roman" w:hAnsiTheme="majorBidi" w:cstheme="majorBidi"/>
          <w:color w:val="212121"/>
          <w:sz w:val="28"/>
          <w:szCs w:val="28"/>
          <w:lang w:eastAsia="ru-RU"/>
        </w:rPr>
      </w:pPr>
    </w:p>
    <w:p w:rsidR="00340D3F" w:rsidRPr="007E2DF1" w:rsidRDefault="00340D3F" w:rsidP="00340D3F">
      <w:pPr>
        <w:shd w:val="clear" w:color="auto" w:fill="FFFFFF"/>
        <w:spacing w:after="0" w:line="240" w:lineRule="auto"/>
        <w:rPr>
          <w:rFonts w:ascii="Arial" w:eastAsia="Times New Roman" w:hAnsi="Arial" w:cs="Arial"/>
          <w:i/>
          <w:iCs/>
          <w:color w:val="212121"/>
          <w:sz w:val="20"/>
          <w:szCs w:val="20"/>
          <w:u w:val="single"/>
          <w:lang w:eastAsia="ru-RU"/>
        </w:rPr>
      </w:pPr>
    </w:p>
    <w:p w:rsidR="004248E0" w:rsidRPr="004248E0" w:rsidRDefault="00625DE6" w:rsidP="004248E0">
      <w:pPr>
        <w:spacing w:after="0" w:line="240" w:lineRule="auto"/>
        <w:jc w:val="center"/>
        <w:rPr>
          <w:rFonts w:ascii="Times New Roman" w:eastAsia="Times New Roman" w:hAnsi="Times New Roman" w:cs="Times New Roman"/>
          <w:sz w:val="24"/>
          <w:szCs w:val="24"/>
          <w:lang w:eastAsia="ru-RU"/>
        </w:rPr>
      </w:pPr>
      <w:r w:rsidRPr="004248E0">
        <w:rPr>
          <w:rFonts w:ascii="Times New Roman" w:eastAsia="Times New Roman" w:hAnsi="Times New Roman" w:cs="Times New Roman"/>
          <w:sz w:val="28"/>
          <w:szCs w:val="28"/>
          <w:bdr w:val="none" w:sz="0" w:space="0" w:color="auto" w:frame="1"/>
          <w:shd w:val="clear" w:color="auto" w:fill="FFFFFF"/>
          <w:lang w:eastAsia="ru-RU"/>
        </w:rPr>
        <w:t xml:space="preserve"> </w:t>
      </w:r>
      <w:r w:rsidR="004248E0" w:rsidRPr="004248E0">
        <w:rPr>
          <w:rFonts w:ascii="Times New Roman" w:eastAsia="Times New Roman" w:hAnsi="Times New Roman" w:cs="Times New Roman"/>
          <w:b/>
          <w:bCs/>
          <w:sz w:val="28"/>
          <w:szCs w:val="28"/>
          <w:bdr w:val="none" w:sz="0" w:space="0" w:color="auto" w:frame="1"/>
          <w:shd w:val="clear" w:color="auto" w:fill="FFFFFF"/>
          <w:lang w:eastAsia="ru-RU"/>
        </w:rPr>
        <w:t>VIІ. Організація процедури державних здійснення закупівель</w:t>
      </w:r>
    </w:p>
    <w:p w:rsidR="00625DE6" w:rsidRPr="007A0B18" w:rsidRDefault="004248E0" w:rsidP="004248E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 xml:space="preserve">      </w:t>
      </w:r>
      <w:r w:rsidRPr="007A0B18">
        <w:rPr>
          <w:rFonts w:ascii="Times New Roman" w:eastAsia="Times New Roman" w:hAnsi="Times New Roman" w:cs="Times New Roman"/>
          <w:sz w:val="28"/>
          <w:szCs w:val="28"/>
          <w:bdr w:val="none" w:sz="0" w:space="0" w:color="auto" w:frame="1"/>
          <w:shd w:val="clear" w:color="auto" w:fill="FFFFFF"/>
          <w:lang w:val="uk-UA" w:eastAsia="ru-RU"/>
        </w:rPr>
        <w:t xml:space="preserve">Закупівля товарів </w:t>
      </w:r>
      <w:r w:rsidR="00625DE6" w:rsidRPr="007A0B18">
        <w:rPr>
          <w:rFonts w:ascii="Times New Roman" w:eastAsia="Times New Roman" w:hAnsi="Times New Roman" w:cs="Times New Roman"/>
          <w:sz w:val="28"/>
          <w:szCs w:val="28"/>
          <w:bdr w:val="none" w:sz="0" w:space="0" w:color="auto" w:frame="1"/>
          <w:shd w:val="clear" w:color="auto" w:fill="FFFFFF"/>
          <w:lang w:val="uk-UA" w:eastAsia="ru-RU"/>
        </w:rPr>
        <w:t>робіт і послуг за рахунок бюджетних коштів здійснюється шляхом проведення процедур закупівель відповідно до вимог Закону України «Про здійснення державних закупівель».</w:t>
      </w:r>
    </w:p>
    <w:p w:rsidR="00625DE6" w:rsidRPr="007A0B18" w:rsidRDefault="00625DE6" w:rsidP="00625DE6">
      <w:pPr>
        <w:spacing w:after="0" w:line="240" w:lineRule="auto"/>
        <w:jc w:val="both"/>
        <w:rPr>
          <w:rFonts w:ascii="Times New Roman" w:eastAsia="Times New Roman" w:hAnsi="Times New Roman" w:cs="Times New Roman"/>
          <w:sz w:val="24"/>
          <w:szCs w:val="24"/>
          <w:lang w:val="uk-UA" w:eastAsia="ru-RU"/>
        </w:rPr>
      </w:pPr>
      <w:r w:rsidRPr="007A0B18">
        <w:rPr>
          <w:rFonts w:ascii="Times New Roman" w:eastAsia="Times New Roman" w:hAnsi="Times New Roman" w:cs="Times New Roman"/>
          <w:sz w:val="28"/>
          <w:szCs w:val="28"/>
          <w:bdr w:val="none" w:sz="0" w:space="0" w:color="auto" w:frame="1"/>
          <w:shd w:val="clear" w:color="auto" w:fill="FFFFFF"/>
          <w:lang w:val="uk-UA" w:eastAsia="ru-RU"/>
        </w:rPr>
        <w:t>Закупівля товарів, робіт і послуг може здійснюватися шляхом проведення відкритих торгів, двоступеневих торгів, запиту цінових пропозицій, попередньої кваліфікації учасників, переговорної процедури закупівлі.</w:t>
      </w:r>
    </w:p>
    <w:p w:rsidR="00625DE6" w:rsidRPr="004248E0" w:rsidRDefault="00625DE6" w:rsidP="00625DE6">
      <w:pPr>
        <w:spacing w:after="0" w:line="240" w:lineRule="auto"/>
        <w:jc w:val="both"/>
        <w:rPr>
          <w:rFonts w:ascii="Times New Roman" w:eastAsia="Times New Roman" w:hAnsi="Times New Roman" w:cs="Times New Roman"/>
          <w:sz w:val="24"/>
          <w:szCs w:val="24"/>
          <w:lang w:eastAsia="ru-RU"/>
        </w:rPr>
      </w:pPr>
      <w:r w:rsidRPr="004248E0">
        <w:rPr>
          <w:rFonts w:ascii="Times New Roman" w:eastAsia="Times New Roman" w:hAnsi="Times New Roman" w:cs="Times New Roman"/>
          <w:sz w:val="28"/>
          <w:szCs w:val="28"/>
          <w:bdr w:val="none" w:sz="0" w:space="0" w:color="auto" w:frame="1"/>
          <w:shd w:val="clear" w:color="auto" w:fill="FFFFFF"/>
          <w:lang w:eastAsia="ru-RU"/>
        </w:rPr>
        <w:t>Процедура проведення закупівель за державні кошти складається з декількох етапів.</w:t>
      </w:r>
    </w:p>
    <w:p w:rsidR="00625DE6" w:rsidRPr="004248E0" w:rsidRDefault="00625DE6" w:rsidP="00625DE6">
      <w:pPr>
        <w:spacing w:after="0" w:line="240" w:lineRule="auto"/>
        <w:jc w:val="both"/>
        <w:rPr>
          <w:rFonts w:ascii="Times New Roman" w:eastAsia="Times New Roman" w:hAnsi="Times New Roman" w:cs="Times New Roman"/>
          <w:sz w:val="24"/>
          <w:szCs w:val="24"/>
          <w:lang w:eastAsia="ru-RU"/>
        </w:rPr>
      </w:pPr>
      <w:r w:rsidRPr="004248E0">
        <w:rPr>
          <w:rFonts w:ascii="Times New Roman" w:eastAsia="Times New Roman" w:hAnsi="Times New Roman" w:cs="Times New Roman"/>
          <w:sz w:val="28"/>
          <w:szCs w:val="28"/>
          <w:bdr w:val="none" w:sz="0" w:space="0" w:color="auto" w:frame="1"/>
          <w:shd w:val="clear" w:color="auto" w:fill="FFFFFF"/>
          <w:lang w:eastAsia="ru-RU"/>
        </w:rPr>
        <w:t>На першому етапі визначаються предмет, обсяг та процедура закупівлі, терміни проведення торгів та розробляється графік поставок або надання послуг (виконання робіт).</w:t>
      </w:r>
    </w:p>
    <w:p w:rsidR="00625DE6" w:rsidRPr="004248E0" w:rsidRDefault="004248E0" w:rsidP="00625D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bdr w:val="none" w:sz="0" w:space="0" w:color="auto" w:frame="1"/>
          <w:shd w:val="clear" w:color="auto" w:fill="FFFFFF"/>
          <w:lang w:eastAsia="ru-RU"/>
        </w:rPr>
        <w:t xml:space="preserve">На другому етапі </w:t>
      </w:r>
      <w:r>
        <w:rPr>
          <w:rFonts w:ascii="Times New Roman" w:eastAsia="Times New Roman" w:hAnsi="Times New Roman" w:cs="Times New Roman"/>
          <w:sz w:val="28"/>
          <w:szCs w:val="28"/>
          <w:bdr w:val="none" w:sz="0" w:space="0" w:color="auto" w:frame="1"/>
          <w:shd w:val="clear" w:color="auto" w:fill="FFFFFF"/>
          <w:lang w:val="uk-UA" w:eastAsia="ru-RU"/>
        </w:rPr>
        <w:t>уповноважена особа</w:t>
      </w:r>
      <w:r w:rsidR="00625DE6" w:rsidRPr="004248E0">
        <w:rPr>
          <w:rFonts w:ascii="Times New Roman" w:eastAsia="Times New Roman" w:hAnsi="Times New Roman" w:cs="Times New Roman"/>
          <w:sz w:val="28"/>
          <w:szCs w:val="28"/>
          <w:bdr w:val="none" w:sz="0" w:space="0" w:color="auto" w:frame="1"/>
          <w:shd w:val="clear" w:color="auto" w:fill="FFFFFF"/>
          <w:lang w:eastAsia="ru-RU"/>
        </w:rPr>
        <w:t xml:space="preserve"> з конкурсних торгів на веб-порталі «Державні закупівлі» розміщує повну інформацію про майбутні торги та умови їх проведення для учасників та готує пакет документів для проведення конкурсних торгів і розсилає документацію учасникам, які подали офіційну заявку на участь </w:t>
      </w:r>
      <w:r w:rsidR="002A6B67" w:rsidRPr="004248E0">
        <w:rPr>
          <w:rFonts w:ascii="Times New Roman" w:eastAsia="Times New Roman" w:hAnsi="Times New Roman" w:cs="Times New Roman"/>
          <w:sz w:val="28"/>
          <w:szCs w:val="28"/>
          <w:bdr w:val="none" w:sz="0" w:space="0" w:color="auto" w:frame="1"/>
          <w:shd w:val="clear" w:color="auto" w:fill="FFFFFF"/>
          <w:lang w:eastAsia="ru-RU"/>
        </w:rPr>
        <w:t>у торгов</w:t>
      </w:r>
      <w:r w:rsidR="00625DE6" w:rsidRPr="004248E0">
        <w:rPr>
          <w:rFonts w:ascii="Times New Roman" w:eastAsia="Times New Roman" w:hAnsi="Times New Roman" w:cs="Times New Roman"/>
          <w:sz w:val="28"/>
          <w:szCs w:val="28"/>
          <w:bdr w:val="none" w:sz="0" w:space="0" w:color="auto" w:frame="1"/>
          <w:shd w:val="clear" w:color="auto" w:fill="FFFFFF"/>
          <w:lang w:eastAsia="ru-RU"/>
        </w:rPr>
        <w:t>.</w:t>
      </w:r>
    </w:p>
    <w:p w:rsidR="00625DE6" w:rsidRPr="004248E0" w:rsidRDefault="00625DE6" w:rsidP="00625DE6">
      <w:pPr>
        <w:spacing w:after="0" w:line="240" w:lineRule="auto"/>
        <w:jc w:val="both"/>
        <w:rPr>
          <w:rFonts w:ascii="Times New Roman" w:eastAsia="Times New Roman" w:hAnsi="Times New Roman" w:cs="Times New Roman"/>
          <w:sz w:val="24"/>
          <w:szCs w:val="24"/>
          <w:lang w:eastAsia="ru-RU"/>
        </w:rPr>
      </w:pPr>
      <w:r w:rsidRPr="004248E0">
        <w:rPr>
          <w:rFonts w:ascii="Times New Roman" w:eastAsia="Times New Roman" w:hAnsi="Times New Roman" w:cs="Times New Roman"/>
          <w:sz w:val="28"/>
          <w:szCs w:val="28"/>
          <w:bdr w:val="none" w:sz="0" w:space="0" w:color="auto" w:frame="1"/>
          <w:shd w:val="clear" w:color="auto" w:fill="FFFFFF"/>
          <w:lang w:eastAsia="ru-RU"/>
        </w:rPr>
        <w:t>На третьому етапі здійснюється розгляд та оцінка пропозицій конкурсних торгів (цінових пропозицій), визначається учасник-переможець та укладається з ним договір на закупівлю, реєструється бюджетне зобов'язання згідно з проведеною процедурою закупівлі в Держказначейську службу України.</w:t>
      </w:r>
    </w:p>
    <w:p w:rsidR="00625DE6" w:rsidRPr="004248E0" w:rsidRDefault="00625DE6" w:rsidP="004248E0">
      <w:pPr>
        <w:spacing w:after="0" w:line="240" w:lineRule="auto"/>
        <w:rPr>
          <w:rFonts w:ascii="Times New Roman" w:eastAsia="Times New Roman" w:hAnsi="Times New Roman" w:cs="Times New Roman"/>
          <w:sz w:val="24"/>
          <w:szCs w:val="24"/>
          <w:lang w:eastAsia="ru-RU"/>
        </w:rPr>
      </w:pPr>
      <w:r w:rsidRPr="004248E0">
        <w:rPr>
          <w:rFonts w:ascii="Times New Roman" w:eastAsia="Times New Roman" w:hAnsi="Times New Roman" w:cs="Times New Roman"/>
          <w:sz w:val="28"/>
          <w:szCs w:val="28"/>
          <w:bdr w:val="none" w:sz="0" w:space="0" w:color="auto" w:frame="1"/>
          <w:shd w:val="clear" w:color="auto" w:fill="FFFFFF"/>
          <w:lang w:val="uk-UA" w:eastAsia="ru-RU"/>
        </w:rPr>
        <w:t>Положе</w:t>
      </w:r>
      <w:r w:rsidR="004248E0">
        <w:rPr>
          <w:rFonts w:ascii="Times New Roman" w:eastAsia="Times New Roman" w:hAnsi="Times New Roman" w:cs="Times New Roman"/>
          <w:sz w:val="28"/>
          <w:szCs w:val="28"/>
          <w:bdr w:val="none" w:sz="0" w:space="0" w:color="auto" w:frame="1"/>
          <w:shd w:val="clear" w:color="auto" w:fill="FFFFFF"/>
          <w:lang w:val="uk-UA" w:eastAsia="ru-RU"/>
        </w:rPr>
        <w:t>ння застосовувати з 28.01 2021</w:t>
      </w:r>
      <w:r w:rsidRPr="004248E0">
        <w:rPr>
          <w:rFonts w:ascii="Times New Roman" w:eastAsia="Times New Roman" w:hAnsi="Times New Roman" w:cs="Times New Roman"/>
          <w:sz w:val="28"/>
          <w:szCs w:val="28"/>
          <w:bdr w:val="none" w:sz="0" w:space="0" w:color="auto" w:frame="1"/>
          <w:shd w:val="clear" w:color="auto" w:fill="FFFFFF"/>
          <w:lang w:val="uk-UA" w:eastAsia="ru-RU"/>
        </w:rPr>
        <w:t xml:space="preserve"> року</w:t>
      </w:r>
      <w:r w:rsidRPr="004248E0">
        <w:rPr>
          <w:rFonts w:ascii="Times New Roman" w:eastAsia="Times New Roman" w:hAnsi="Times New Roman" w:cs="Times New Roman"/>
          <w:sz w:val="28"/>
          <w:szCs w:val="28"/>
          <w:bdr w:val="none" w:sz="0" w:space="0" w:color="auto" w:frame="1"/>
          <w:shd w:val="clear" w:color="auto" w:fill="FFFFFF"/>
          <w:lang w:eastAsia="ru-RU"/>
        </w:rPr>
        <w:t>.</w:t>
      </w:r>
    </w:p>
    <w:p w:rsidR="00625DE6" w:rsidRPr="004248E0" w:rsidRDefault="00625DE6" w:rsidP="00625DE6">
      <w:pPr>
        <w:spacing w:before="225" w:after="225" w:line="240" w:lineRule="auto"/>
        <w:rPr>
          <w:rFonts w:ascii="Times New Roman" w:eastAsia="Times New Roman" w:hAnsi="Times New Roman" w:cs="Times New Roman"/>
          <w:sz w:val="24"/>
          <w:szCs w:val="24"/>
          <w:lang w:eastAsia="ru-RU"/>
        </w:rPr>
      </w:pPr>
      <w:r w:rsidRPr="004248E0">
        <w:rPr>
          <w:rFonts w:ascii="Times New Roman" w:eastAsia="Times New Roman" w:hAnsi="Times New Roman" w:cs="Times New Roman"/>
          <w:sz w:val="24"/>
          <w:szCs w:val="24"/>
          <w:lang w:eastAsia="ru-RU"/>
        </w:rPr>
        <w:t> </w:t>
      </w:r>
    </w:p>
    <w:p w:rsidR="00625DE6" w:rsidRPr="004248E0" w:rsidRDefault="00625DE6" w:rsidP="00625DE6">
      <w:pPr>
        <w:spacing w:after="0" w:line="240" w:lineRule="auto"/>
        <w:jc w:val="center"/>
        <w:rPr>
          <w:rFonts w:ascii="Times New Roman" w:eastAsia="Times New Roman" w:hAnsi="Times New Roman" w:cs="Times New Roman"/>
          <w:sz w:val="24"/>
          <w:szCs w:val="24"/>
          <w:lang w:eastAsia="ru-RU"/>
        </w:rPr>
      </w:pPr>
    </w:p>
    <w:p w:rsidR="00625DE6" w:rsidRPr="004248E0" w:rsidRDefault="00625DE6" w:rsidP="00625DE6">
      <w:pPr>
        <w:spacing w:after="0" w:line="240" w:lineRule="auto"/>
        <w:jc w:val="center"/>
        <w:rPr>
          <w:rFonts w:ascii="Times New Roman" w:eastAsia="Times New Roman" w:hAnsi="Times New Roman" w:cs="Times New Roman"/>
          <w:sz w:val="24"/>
          <w:szCs w:val="24"/>
          <w:lang w:eastAsia="ru-RU"/>
        </w:rPr>
      </w:pPr>
    </w:p>
    <w:p w:rsidR="00CA5AD3" w:rsidRPr="004248E0" w:rsidRDefault="00CA5AD3" w:rsidP="00CA5AD3">
      <w:pPr>
        <w:shd w:val="clear" w:color="auto" w:fill="FFFFFF"/>
        <w:spacing w:after="100" w:afterAutospacing="1" w:line="240" w:lineRule="auto"/>
        <w:rPr>
          <w:rFonts w:ascii="Verdana" w:eastAsia="Times New Roman" w:hAnsi="Verdana" w:cs="Times New Roman"/>
          <w:sz w:val="18"/>
          <w:szCs w:val="18"/>
          <w:lang w:eastAsia="ru-RU"/>
        </w:rPr>
      </w:pPr>
    </w:p>
    <w:p w:rsidR="00BA0551" w:rsidRPr="004248E0" w:rsidRDefault="00CA5AD3" w:rsidP="009421ED">
      <w:pPr>
        <w:shd w:val="clear" w:color="auto" w:fill="FFFFFF"/>
        <w:spacing w:after="100" w:afterAutospacing="1" w:line="240" w:lineRule="auto"/>
        <w:rPr>
          <w:rFonts w:ascii="Georgia" w:eastAsia="Times New Roman" w:hAnsi="Georgia" w:cs="Times New Roman"/>
          <w:sz w:val="18"/>
          <w:szCs w:val="18"/>
          <w:lang w:val="uk-UA" w:eastAsia="ru-RU"/>
        </w:rPr>
      </w:pPr>
      <w:r w:rsidRPr="004248E0">
        <w:rPr>
          <w:rFonts w:ascii="Verdana" w:eastAsia="Times New Roman" w:hAnsi="Verdana" w:cs="Times New Roman"/>
          <w:b/>
          <w:bCs/>
          <w:sz w:val="18"/>
          <w:szCs w:val="18"/>
          <w:lang w:eastAsia="ru-RU"/>
        </w:rPr>
        <w:t> </w:t>
      </w:r>
    </w:p>
    <w:p w:rsidR="00BA0551" w:rsidRPr="004248E0" w:rsidRDefault="00BA0551" w:rsidP="00BA0551">
      <w:pPr>
        <w:rPr>
          <w:rFonts w:ascii="Georgia" w:eastAsia="Times New Roman" w:hAnsi="Georgia" w:cs="Times New Roman"/>
          <w:sz w:val="18"/>
          <w:szCs w:val="18"/>
          <w:lang w:val="uk-UA" w:eastAsia="ru-RU"/>
        </w:rPr>
      </w:pPr>
    </w:p>
    <w:p w:rsidR="00BA0551" w:rsidRPr="004248E0" w:rsidRDefault="00BA0551" w:rsidP="00BA0551">
      <w:pPr>
        <w:rPr>
          <w:rFonts w:ascii="Georgia" w:eastAsia="Times New Roman" w:hAnsi="Georgia" w:cs="Times New Roman"/>
          <w:sz w:val="18"/>
          <w:szCs w:val="18"/>
          <w:lang w:val="uk-UA" w:eastAsia="ru-RU"/>
        </w:rPr>
      </w:pPr>
    </w:p>
    <w:p w:rsidR="004345CD" w:rsidRPr="00BA0551" w:rsidRDefault="004345CD" w:rsidP="00BA0551">
      <w:pPr>
        <w:jc w:val="right"/>
        <w:rPr>
          <w:rFonts w:ascii="Georgia" w:eastAsia="Times New Roman" w:hAnsi="Georgia" w:cs="Times New Roman"/>
          <w:sz w:val="18"/>
          <w:szCs w:val="18"/>
          <w:lang w:eastAsia="ru-RU"/>
        </w:rPr>
      </w:pPr>
    </w:p>
    <w:sectPr w:rsidR="004345CD" w:rsidRPr="00BA055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9E7" w:rsidRDefault="008239E7" w:rsidP="006B7053">
      <w:pPr>
        <w:spacing w:after="0" w:line="240" w:lineRule="auto"/>
      </w:pPr>
      <w:r>
        <w:separator/>
      </w:r>
    </w:p>
  </w:endnote>
  <w:endnote w:type="continuationSeparator" w:id="0">
    <w:p w:rsidR="008239E7" w:rsidRDefault="008239E7" w:rsidP="006B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9E7" w:rsidRDefault="008239E7" w:rsidP="006B7053">
      <w:pPr>
        <w:spacing w:after="0" w:line="240" w:lineRule="auto"/>
      </w:pPr>
      <w:r>
        <w:separator/>
      </w:r>
    </w:p>
  </w:footnote>
  <w:footnote w:type="continuationSeparator" w:id="0">
    <w:p w:rsidR="008239E7" w:rsidRDefault="008239E7" w:rsidP="006B7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2481"/>
    <w:multiLevelType w:val="multilevel"/>
    <w:tmpl w:val="1FBA6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7309C"/>
    <w:multiLevelType w:val="hybridMultilevel"/>
    <w:tmpl w:val="1262B690"/>
    <w:lvl w:ilvl="0" w:tplc="2A66F8D8">
      <w:start w:val="4"/>
      <w:numFmt w:val="bullet"/>
      <w:lvlText w:val=""/>
      <w:lvlJc w:val="left"/>
      <w:pPr>
        <w:tabs>
          <w:tab w:val="num" w:pos="720"/>
        </w:tabs>
        <w:ind w:left="720" w:hanging="360"/>
      </w:pPr>
      <w:rPr>
        <w:rFonts w:ascii="Symbol" w:hAnsi="Symbol" w:hint="default"/>
        <w:sz w:val="20"/>
      </w:rPr>
    </w:lvl>
    <w:lvl w:ilvl="1" w:tplc="013CD8E6" w:tentative="1">
      <w:start w:val="1"/>
      <w:numFmt w:val="decimal"/>
      <w:lvlText w:val="%2."/>
      <w:lvlJc w:val="left"/>
      <w:pPr>
        <w:tabs>
          <w:tab w:val="num" w:pos="1440"/>
        </w:tabs>
        <w:ind w:left="1440" w:hanging="360"/>
      </w:pPr>
    </w:lvl>
    <w:lvl w:ilvl="2" w:tplc="A2DE9012" w:tentative="1">
      <w:start w:val="1"/>
      <w:numFmt w:val="decimal"/>
      <w:lvlText w:val="%3."/>
      <w:lvlJc w:val="left"/>
      <w:pPr>
        <w:tabs>
          <w:tab w:val="num" w:pos="2160"/>
        </w:tabs>
        <w:ind w:left="2160" w:hanging="360"/>
      </w:pPr>
    </w:lvl>
    <w:lvl w:ilvl="3" w:tplc="92822390" w:tentative="1">
      <w:start w:val="1"/>
      <w:numFmt w:val="decimal"/>
      <w:lvlText w:val="%4."/>
      <w:lvlJc w:val="left"/>
      <w:pPr>
        <w:tabs>
          <w:tab w:val="num" w:pos="2880"/>
        </w:tabs>
        <w:ind w:left="2880" w:hanging="360"/>
      </w:pPr>
    </w:lvl>
    <w:lvl w:ilvl="4" w:tplc="CF92C6CE" w:tentative="1">
      <w:start w:val="1"/>
      <w:numFmt w:val="decimal"/>
      <w:lvlText w:val="%5."/>
      <w:lvlJc w:val="left"/>
      <w:pPr>
        <w:tabs>
          <w:tab w:val="num" w:pos="3600"/>
        </w:tabs>
        <w:ind w:left="3600" w:hanging="360"/>
      </w:pPr>
    </w:lvl>
    <w:lvl w:ilvl="5" w:tplc="7BDC24C8" w:tentative="1">
      <w:start w:val="1"/>
      <w:numFmt w:val="decimal"/>
      <w:lvlText w:val="%6."/>
      <w:lvlJc w:val="left"/>
      <w:pPr>
        <w:tabs>
          <w:tab w:val="num" w:pos="4320"/>
        </w:tabs>
        <w:ind w:left="4320" w:hanging="360"/>
      </w:pPr>
    </w:lvl>
    <w:lvl w:ilvl="6" w:tplc="62D4EB5E" w:tentative="1">
      <w:start w:val="1"/>
      <w:numFmt w:val="decimal"/>
      <w:lvlText w:val="%7."/>
      <w:lvlJc w:val="left"/>
      <w:pPr>
        <w:tabs>
          <w:tab w:val="num" w:pos="5040"/>
        </w:tabs>
        <w:ind w:left="5040" w:hanging="360"/>
      </w:pPr>
    </w:lvl>
    <w:lvl w:ilvl="7" w:tplc="24FA1816" w:tentative="1">
      <w:start w:val="1"/>
      <w:numFmt w:val="decimal"/>
      <w:lvlText w:val="%8."/>
      <w:lvlJc w:val="left"/>
      <w:pPr>
        <w:tabs>
          <w:tab w:val="num" w:pos="5760"/>
        </w:tabs>
        <w:ind w:left="5760" w:hanging="360"/>
      </w:pPr>
    </w:lvl>
    <w:lvl w:ilvl="8" w:tplc="7700D5D2" w:tentative="1">
      <w:start w:val="1"/>
      <w:numFmt w:val="decimal"/>
      <w:lvlText w:val="%9."/>
      <w:lvlJc w:val="left"/>
      <w:pPr>
        <w:tabs>
          <w:tab w:val="num" w:pos="6480"/>
        </w:tabs>
        <w:ind w:left="6480" w:hanging="360"/>
      </w:pPr>
    </w:lvl>
  </w:abstractNum>
  <w:abstractNum w:abstractNumId="2">
    <w:nsid w:val="17861B67"/>
    <w:multiLevelType w:val="multilevel"/>
    <w:tmpl w:val="DD28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66D97"/>
    <w:multiLevelType w:val="multilevel"/>
    <w:tmpl w:val="0CBA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6628C"/>
    <w:multiLevelType w:val="hybridMultilevel"/>
    <w:tmpl w:val="B5F61520"/>
    <w:lvl w:ilvl="0" w:tplc="BC5817AA">
      <w:start w:val="3"/>
      <w:numFmt w:val="bullet"/>
      <w:lvlText w:val=""/>
      <w:lvlJc w:val="left"/>
      <w:pPr>
        <w:tabs>
          <w:tab w:val="num" w:pos="720"/>
        </w:tabs>
        <w:ind w:left="720" w:hanging="360"/>
      </w:pPr>
      <w:rPr>
        <w:rFonts w:ascii="Symbol" w:hAnsi="Symbol" w:hint="default"/>
        <w:sz w:val="20"/>
      </w:rPr>
    </w:lvl>
    <w:lvl w:ilvl="1" w:tplc="3432A8BE" w:tentative="1">
      <w:start w:val="1"/>
      <w:numFmt w:val="decimal"/>
      <w:lvlText w:val="%2."/>
      <w:lvlJc w:val="left"/>
      <w:pPr>
        <w:tabs>
          <w:tab w:val="num" w:pos="1440"/>
        </w:tabs>
        <w:ind w:left="1440" w:hanging="360"/>
      </w:pPr>
    </w:lvl>
    <w:lvl w:ilvl="2" w:tplc="2A44F752" w:tentative="1">
      <w:start w:val="1"/>
      <w:numFmt w:val="decimal"/>
      <w:lvlText w:val="%3."/>
      <w:lvlJc w:val="left"/>
      <w:pPr>
        <w:tabs>
          <w:tab w:val="num" w:pos="2160"/>
        </w:tabs>
        <w:ind w:left="2160" w:hanging="360"/>
      </w:pPr>
    </w:lvl>
    <w:lvl w:ilvl="3" w:tplc="A492ECEC" w:tentative="1">
      <w:start w:val="1"/>
      <w:numFmt w:val="decimal"/>
      <w:lvlText w:val="%4."/>
      <w:lvlJc w:val="left"/>
      <w:pPr>
        <w:tabs>
          <w:tab w:val="num" w:pos="2880"/>
        </w:tabs>
        <w:ind w:left="2880" w:hanging="360"/>
      </w:pPr>
    </w:lvl>
    <w:lvl w:ilvl="4" w:tplc="CA2A54EE" w:tentative="1">
      <w:start w:val="1"/>
      <w:numFmt w:val="decimal"/>
      <w:lvlText w:val="%5."/>
      <w:lvlJc w:val="left"/>
      <w:pPr>
        <w:tabs>
          <w:tab w:val="num" w:pos="3600"/>
        </w:tabs>
        <w:ind w:left="3600" w:hanging="360"/>
      </w:pPr>
    </w:lvl>
    <w:lvl w:ilvl="5" w:tplc="8EACD572" w:tentative="1">
      <w:start w:val="1"/>
      <w:numFmt w:val="decimal"/>
      <w:lvlText w:val="%6."/>
      <w:lvlJc w:val="left"/>
      <w:pPr>
        <w:tabs>
          <w:tab w:val="num" w:pos="4320"/>
        </w:tabs>
        <w:ind w:left="4320" w:hanging="360"/>
      </w:pPr>
    </w:lvl>
    <w:lvl w:ilvl="6" w:tplc="28B8775E" w:tentative="1">
      <w:start w:val="1"/>
      <w:numFmt w:val="decimal"/>
      <w:lvlText w:val="%7."/>
      <w:lvlJc w:val="left"/>
      <w:pPr>
        <w:tabs>
          <w:tab w:val="num" w:pos="5040"/>
        </w:tabs>
        <w:ind w:left="5040" w:hanging="360"/>
      </w:pPr>
    </w:lvl>
    <w:lvl w:ilvl="7" w:tplc="E722AD5C" w:tentative="1">
      <w:start w:val="1"/>
      <w:numFmt w:val="decimal"/>
      <w:lvlText w:val="%8."/>
      <w:lvlJc w:val="left"/>
      <w:pPr>
        <w:tabs>
          <w:tab w:val="num" w:pos="5760"/>
        </w:tabs>
        <w:ind w:left="5760" w:hanging="360"/>
      </w:pPr>
    </w:lvl>
    <w:lvl w:ilvl="8" w:tplc="24785BCE" w:tentative="1">
      <w:start w:val="1"/>
      <w:numFmt w:val="decimal"/>
      <w:lvlText w:val="%9."/>
      <w:lvlJc w:val="left"/>
      <w:pPr>
        <w:tabs>
          <w:tab w:val="num" w:pos="6480"/>
        </w:tabs>
        <w:ind w:left="6480" w:hanging="360"/>
      </w:pPr>
    </w:lvl>
  </w:abstractNum>
  <w:abstractNum w:abstractNumId="5">
    <w:nsid w:val="27D13720"/>
    <w:multiLevelType w:val="multilevel"/>
    <w:tmpl w:val="FF84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100DE"/>
    <w:multiLevelType w:val="multilevel"/>
    <w:tmpl w:val="D89A39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0368AE"/>
    <w:multiLevelType w:val="multilevel"/>
    <w:tmpl w:val="69A0C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507B8"/>
    <w:multiLevelType w:val="multilevel"/>
    <w:tmpl w:val="9E989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7A0A43"/>
    <w:multiLevelType w:val="multilevel"/>
    <w:tmpl w:val="DFB6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3F32D9"/>
    <w:multiLevelType w:val="multilevel"/>
    <w:tmpl w:val="B9F8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057024"/>
    <w:multiLevelType w:val="multilevel"/>
    <w:tmpl w:val="D340C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B634E7"/>
    <w:multiLevelType w:val="multilevel"/>
    <w:tmpl w:val="7BF61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28774C"/>
    <w:multiLevelType w:val="multilevel"/>
    <w:tmpl w:val="BE2E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A4280D"/>
    <w:multiLevelType w:val="multilevel"/>
    <w:tmpl w:val="86C6E0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F518FC"/>
    <w:multiLevelType w:val="multilevel"/>
    <w:tmpl w:val="5958E2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A85F04"/>
    <w:multiLevelType w:val="multilevel"/>
    <w:tmpl w:val="B0E6D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1"/>
  </w:num>
  <w:num w:numId="4">
    <w:abstractNumId w:val="5"/>
  </w:num>
  <w:num w:numId="5">
    <w:abstractNumId w:val="6"/>
  </w:num>
  <w:num w:numId="6">
    <w:abstractNumId w:val="14"/>
  </w:num>
  <w:num w:numId="7">
    <w:abstractNumId w:val="9"/>
  </w:num>
  <w:num w:numId="8">
    <w:abstractNumId w:val="7"/>
  </w:num>
  <w:num w:numId="9">
    <w:abstractNumId w:val="8"/>
  </w:num>
  <w:num w:numId="10">
    <w:abstractNumId w:val="3"/>
  </w:num>
  <w:num w:numId="11">
    <w:abstractNumId w:val="16"/>
  </w:num>
  <w:num w:numId="12">
    <w:abstractNumId w:val="15"/>
  </w:num>
  <w:num w:numId="13">
    <w:abstractNumId w:val="12"/>
  </w:num>
  <w:num w:numId="14">
    <w:abstractNumId w:val="2"/>
  </w:num>
  <w:num w:numId="15">
    <w:abstractNumId w:val="1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D3"/>
    <w:rsid w:val="00046EBC"/>
    <w:rsid w:val="000811C8"/>
    <w:rsid w:val="00147CA1"/>
    <w:rsid w:val="00181AF0"/>
    <w:rsid w:val="00293E96"/>
    <w:rsid w:val="002A6B67"/>
    <w:rsid w:val="002C7175"/>
    <w:rsid w:val="00304F6F"/>
    <w:rsid w:val="00340D3F"/>
    <w:rsid w:val="00376CBC"/>
    <w:rsid w:val="004248E0"/>
    <w:rsid w:val="004345CD"/>
    <w:rsid w:val="00471C76"/>
    <w:rsid w:val="00560ED1"/>
    <w:rsid w:val="00625DE6"/>
    <w:rsid w:val="006B7053"/>
    <w:rsid w:val="0071590B"/>
    <w:rsid w:val="00716D13"/>
    <w:rsid w:val="007A0B18"/>
    <w:rsid w:val="007E2DF1"/>
    <w:rsid w:val="0081555D"/>
    <w:rsid w:val="008239E7"/>
    <w:rsid w:val="0088017B"/>
    <w:rsid w:val="008A5544"/>
    <w:rsid w:val="008E3551"/>
    <w:rsid w:val="009421ED"/>
    <w:rsid w:val="009651D7"/>
    <w:rsid w:val="009C2EB9"/>
    <w:rsid w:val="009D3634"/>
    <w:rsid w:val="00A10CB7"/>
    <w:rsid w:val="00A90F0B"/>
    <w:rsid w:val="00AC1209"/>
    <w:rsid w:val="00B37378"/>
    <w:rsid w:val="00B54AC2"/>
    <w:rsid w:val="00BA0551"/>
    <w:rsid w:val="00C62409"/>
    <w:rsid w:val="00C87E16"/>
    <w:rsid w:val="00CA5AD3"/>
    <w:rsid w:val="00CD49EC"/>
    <w:rsid w:val="00D15FFF"/>
    <w:rsid w:val="00D4408B"/>
    <w:rsid w:val="00D62071"/>
    <w:rsid w:val="00E0512A"/>
    <w:rsid w:val="00E11E59"/>
    <w:rsid w:val="00E311E0"/>
    <w:rsid w:val="00F242F1"/>
    <w:rsid w:val="00F2448F"/>
    <w:rsid w:val="00F73D88"/>
    <w:rsid w:val="00F90138"/>
    <w:rsid w:val="00FE206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B9875-9E8E-4785-929D-65C99AED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5A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E20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5AD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A5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AD3"/>
    <w:rPr>
      <w:b/>
      <w:bCs/>
    </w:rPr>
  </w:style>
  <w:style w:type="paragraph" w:styleId="a5">
    <w:name w:val="List Paragraph"/>
    <w:basedOn w:val="a"/>
    <w:uiPriority w:val="34"/>
    <w:qFormat/>
    <w:rsid w:val="008E3551"/>
    <w:pPr>
      <w:ind w:left="720"/>
      <w:contextualSpacing/>
    </w:pPr>
  </w:style>
  <w:style w:type="paragraph" w:styleId="a6">
    <w:name w:val="Balloon Text"/>
    <w:basedOn w:val="a"/>
    <w:link w:val="a7"/>
    <w:uiPriority w:val="99"/>
    <w:semiHidden/>
    <w:unhideWhenUsed/>
    <w:rsid w:val="00F244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448F"/>
    <w:rPr>
      <w:rFonts w:ascii="Segoe UI" w:hAnsi="Segoe UI" w:cs="Segoe UI"/>
      <w:sz w:val="18"/>
      <w:szCs w:val="18"/>
    </w:rPr>
  </w:style>
  <w:style w:type="paragraph" w:customStyle="1" w:styleId="wymcenter">
    <w:name w:val="wym_center"/>
    <w:basedOn w:val="a"/>
    <w:rsid w:val="00BA0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E2063"/>
    <w:rPr>
      <w:rFonts w:asciiTheme="majorHAnsi" w:eastAsiaTheme="majorEastAsia" w:hAnsiTheme="majorHAnsi" w:cstheme="majorBidi"/>
      <w:color w:val="1F4D78" w:themeColor="accent1" w:themeShade="7F"/>
      <w:sz w:val="24"/>
      <w:szCs w:val="24"/>
    </w:rPr>
  </w:style>
  <w:style w:type="character" w:customStyle="1" w:styleId="rvts9">
    <w:name w:val="rvts9"/>
    <w:basedOn w:val="a0"/>
    <w:rsid w:val="00625DE6"/>
  </w:style>
  <w:style w:type="character" w:customStyle="1" w:styleId="apple-converted-space">
    <w:name w:val="apple-converted-space"/>
    <w:basedOn w:val="a0"/>
    <w:rsid w:val="00625DE6"/>
  </w:style>
  <w:style w:type="character" w:styleId="a8">
    <w:name w:val="Emphasis"/>
    <w:basedOn w:val="a0"/>
    <w:uiPriority w:val="20"/>
    <w:qFormat/>
    <w:rsid w:val="00625DE6"/>
    <w:rPr>
      <w:i/>
      <w:iCs/>
    </w:rPr>
  </w:style>
  <w:style w:type="paragraph" w:customStyle="1" w:styleId="rvps2">
    <w:name w:val="rvps2"/>
    <w:basedOn w:val="a"/>
    <w:rsid w:val="0062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25DE6"/>
    <w:rPr>
      <w:color w:val="0000FF"/>
      <w:u w:val="single"/>
    </w:rPr>
  </w:style>
  <w:style w:type="paragraph" w:styleId="aa">
    <w:name w:val="header"/>
    <w:basedOn w:val="a"/>
    <w:link w:val="ab"/>
    <w:uiPriority w:val="99"/>
    <w:unhideWhenUsed/>
    <w:rsid w:val="006B7053"/>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6B7053"/>
  </w:style>
  <w:style w:type="paragraph" w:styleId="ac">
    <w:name w:val="footer"/>
    <w:basedOn w:val="a"/>
    <w:link w:val="ad"/>
    <w:uiPriority w:val="99"/>
    <w:unhideWhenUsed/>
    <w:rsid w:val="006B7053"/>
    <w:pPr>
      <w:tabs>
        <w:tab w:val="center" w:pos="4819"/>
        <w:tab w:val="right" w:pos="9639"/>
      </w:tabs>
      <w:spacing w:after="0" w:line="240" w:lineRule="auto"/>
    </w:pPr>
  </w:style>
  <w:style w:type="character" w:customStyle="1" w:styleId="ad">
    <w:name w:val="Нижний колонтитул Знак"/>
    <w:basedOn w:val="a0"/>
    <w:link w:val="ac"/>
    <w:uiPriority w:val="99"/>
    <w:rsid w:val="006B7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96068">
      <w:bodyDiv w:val="1"/>
      <w:marLeft w:val="0"/>
      <w:marRight w:val="0"/>
      <w:marTop w:val="0"/>
      <w:marBottom w:val="0"/>
      <w:divBdr>
        <w:top w:val="none" w:sz="0" w:space="0" w:color="auto"/>
        <w:left w:val="none" w:sz="0" w:space="0" w:color="auto"/>
        <w:bottom w:val="none" w:sz="0" w:space="0" w:color="auto"/>
        <w:right w:val="none" w:sz="0" w:space="0" w:color="auto"/>
      </w:divBdr>
    </w:div>
    <w:div w:id="934479146">
      <w:bodyDiv w:val="1"/>
      <w:marLeft w:val="0"/>
      <w:marRight w:val="0"/>
      <w:marTop w:val="0"/>
      <w:marBottom w:val="0"/>
      <w:divBdr>
        <w:top w:val="none" w:sz="0" w:space="0" w:color="auto"/>
        <w:left w:val="none" w:sz="0" w:space="0" w:color="auto"/>
        <w:bottom w:val="none" w:sz="0" w:space="0" w:color="auto"/>
        <w:right w:val="none" w:sz="0" w:space="0" w:color="auto"/>
      </w:divBdr>
    </w:div>
    <w:div w:id="1201699562">
      <w:bodyDiv w:val="1"/>
      <w:marLeft w:val="0"/>
      <w:marRight w:val="0"/>
      <w:marTop w:val="0"/>
      <w:marBottom w:val="0"/>
      <w:divBdr>
        <w:top w:val="none" w:sz="0" w:space="0" w:color="auto"/>
        <w:left w:val="none" w:sz="0" w:space="0" w:color="auto"/>
        <w:bottom w:val="none" w:sz="0" w:space="0" w:color="auto"/>
        <w:right w:val="none" w:sz="0" w:space="0" w:color="auto"/>
      </w:divBdr>
    </w:div>
    <w:div w:id="1262683838">
      <w:bodyDiv w:val="1"/>
      <w:marLeft w:val="0"/>
      <w:marRight w:val="0"/>
      <w:marTop w:val="0"/>
      <w:marBottom w:val="0"/>
      <w:divBdr>
        <w:top w:val="none" w:sz="0" w:space="0" w:color="auto"/>
        <w:left w:val="none" w:sz="0" w:space="0" w:color="auto"/>
        <w:bottom w:val="none" w:sz="0" w:space="0" w:color="auto"/>
        <w:right w:val="none" w:sz="0" w:space="0" w:color="auto"/>
      </w:divBdr>
    </w:div>
    <w:div w:id="1357971897">
      <w:bodyDiv w:val="1"/>
      <w:marLeft w:val="0"/>
      <w:marRight w:val="0"/>
      <w:marTop w:val="0"/>
      <w:marBottom w:val="0"/>
      <w:divBdr>
        <w:top w:val="none" w:sz="0" w:space="0" w:color="auto"/>
        <w:left w:val="none" w:sz="0" w:space="0" w:color="auto"/>
        <w:bottom w:val="none" w:sz="0" w:space="0" w:color="auto"/>
        <w:right w:val="none" w:sz="0" w:space="0" w:color="auto"/>
      </w:divBdr>
    </w:div>
    <w:div w:id="1418553797">
      <w:bodyDiv w:val="1"/>
      <w:marLeft w:val="0"/>
      <w:marRight w:val="0"/>
      <w:marTop w:val="0"/>
      <w:marBottom w:val="0"/>
      <w:divBdr>
        <w:top w:val="none" w:sz="0" w:space="0" w:color="auto"/>
        <w:left w:val="none" w:sz="0" w:space="0" w:color="auto"/>
        <w:bottom w:val="none" w:sz="0" w:space="0" w:color="auto"/>
        <w:right w:val="none" w:sz="0" w:space="0" w:color="auto"/>
      </w:divBdr>
      <w:divsChild>
        <w:div w:id="1420055634">
          <w:marLeft w:val="0"/>
          <w:marRight w:val="0"/>
          <w:marTop w:val="0"/>
          <w:marBottom w:val="0"/>
          <w:divBdr>
            <w:top w:val="none" w:sz="0" w:space="0" w:color="auto"/>
            <w:left w:val="none" w:sz="0" w:space="0" w:color="auto"/>
            <w:bottom w:val="none" w:sz="0" w:space="0" w:color="auto"/>
            <w:right w:val="none" w:sz="0" w:space="0" w:color="auto"/>
          </w:divBdr>
        </w:div>
        <w:div w:id="1632781626">
          <w:marLeft w:val="0"/>
          <w:marRight w:val="0"/>
          <w:marTop w:val="0"/>
          <w:marBottom w:val="0"/>
          <w:divBdr>
            <w:top w:val="none" w:sz="0" w:space="0" w:color="auto"/>
            <w:left w:val="none" w:sz="0" w:space="0" w:color="auto"/>
            <w:bottom w:val="none" w:sz="0" w:space="0" w:color="auto"/>
            <w:right w:val="none" w:sz="0" w:space="0" w:color="auto"/>
          </w:divBdr>
          <w:divsChild>
            <w:div w:id="718554105">
              <w:marLeft w:val="0"/>
              <w:marRight w:val="0"/>
              <w:marTop w:val="0"/>
              <w:marBottom w:val="750"/>
              <w:divBdr>
                <w:top w:val="none" w:sz="0" w:space="0" w:color="auto"/>
                <w:left w:val="none" w:sz="0" w:space="0" w:color="auto"/>
                <w:bottom w:val="none" w:sz="0" w:space="0" w:color="auto"/>
                <w:right w:val="none" w:sz="0" w:space="0" w:color="auto"/>
              </w:divBdr>
              <w:divsChild>
                <w:div w:id="1820682025">
                  <w:marLeft w:val="0"/>
                  <w:marRight w:val="0"/>
                  <w:marTop w:val="0"/>
                  <w:marBottom w:val="300"/>
                  <w:divBdr>
                    <w:top w:val="none" w:sz="0" w:space="0" w:color="auto"/>
                    <w:left w:val="none" w:sz="0" w:space="0" w:color="auto"/>
                    <w:bottom w:val="single" w:sz="6" w:space="8" w:color="E5E5E5"/>
                    <w:right w:val="none" w:sz="0" w:space="0" w:color="auto"/>
                  </w:divBdr>
                </w:div>
                <w:div w:id="1176920902">
                  <w:marLeft w:val="0"/>
                  <w:marRight w:val="0"/>
                  <w:marTop w:val="0"/>
                  <w:marBottom w:val="180"/>
                  <w:divBdr>
                    <w:top w:val="none" w:sz="0" w:space="0" w:color="auto"/>
                    <w:left w:val="none" w:sz="0" w:space="0" w:color="auto"/>
                    <w:bottom w:val="none" w:sz="0" w:space="0" w:color="auto"/>
                    <w:right w:val="none" w:sz="0" w:space="0" w:color="auto"/>
                  </w:divBdr>
                </w:div>
              </w:divsChild>
            </w:div>
            <w:div w:id="1414159536">
              <w:marLeft w:val="0"/>
              <w:marRight w:val="0"/>
              <w:marTop w:val="0"/>
              <w:marBottom w:val="600"/>
              <w:divBdr>
                <w:top w:val="none" w:sz="0" w:space="0" w:color="auto"/>
                <w:left w:val="none" w:sz="0" w:space="0" w:color="auto"/>
                <w:bottom w:val="none" w:sz="0" w:space="0" w:color="auto"/>
                <w:right w:val="none" w:sz="0" w:space="0" w:color="auto"/>
              </w:divBdr>
              <w:divsChild>
                <w:div w:id="1047685020">
                  <w:marLeft w:val="0"/>
                  <w:marRight w:val="0"/>
                  <w:marTop w:val="0"/>
                  <w:marBottom w:val="300"/>
                  <w:divBdr>
                    <w:top w:val="none" w:sz="0" w:space="0" w:color="auto"/>
                    <w:left w:val="none" w:sz="0" w:space="0" w:color="auto"/>
                    <w:bottom w:val="single" w:sz="6" w:space="8" w:color="E5E5E5"/>
                    <w:right w:val="none" w:sz="0" w:space="0" w:color="auto"/>
                  </w:divBdr>
                </w:div>
                <w:div w:id="1133448239">
                  <w:marLeft w:val="0"/>
                  <w:marRight w:val="0"/>
                  <w:marTop w:val="0"/>
                  <w:marBottom w:val="150"/>
                  <w:divBdr>
                    <w:top w:val="none" w:sz="0" w:space="0" w:color="auto"/>
                    <w:left w:val="none" w:sz="0" w:space="0" w:color="auto"/>
                    <w:bottom w:val="single" w:sz="6" w:space="8" w:color="E5E5E5"/>
                    <w:right w:val="none" w:sz="0" w:space="0" w:color="auto"/>
                  </w:divBdr>
                  <w:divsChild>
                    <w:div w:id="1092972991">
                      <w:marLeft w:val="-225"/>
                      <w:marRight w:val="-225"/>
                      <w:marTop w:val="0"/>
                      <w:marBottom w:val="0"/>
                      <w:divBdr>
                        <w:top w:val="none" w:sz="0" w:space="0" w:color="auto"/>
                        <w:left w:val="none" w:sz="0" w:space="0" w:color="auto"/>
                        <w:bottom w:val="none" w:sz="0" w:space="0" w:color="auto"/>
                        <w:right w:val="none" w:sz="0" w:space="0" w:color="auto"/>
                      </w:divBdr>
                      <w:divsChild>
                        <w:div w:id="1210993982">
                          <w:marLeft w:val="0"/>
                          <w:marRight w:val="0"/>
                          <w:marTop w:val="0"/>
                          <w:marBottom w:val="0"/>
                          <w:divBdr>
                            <w:top w:val="none" w:sz="0" w:space="0" w:color="auto"/>
                            <w:left w:val="none" w:sz="0" w:space="0" w:color="auto"/>
                            <w:bottom w:val="none" w:sz="0" w:space="0" w:color="auto"/>
                            <w:right w:val="none" w:sz="0" w:space="0" w:color="auto"/>
                          </w:divBdr>
                          <w:divsChild>
                            <w:div w:id="17973221">
                              <w:marLeft w:val="0"/>
                              <w:marRight w:val="0"/>
                              <w:marTop w:val="0"/>
                              <w:marBottom w:val="0"/>
                              <w:divBdr>
                                <w:top w:val="none" w:sz="0" w:space="0" w:color="auto"/>
                                <w:left w:val="none" w:sz="0" w:space="0" w:color="auto"/>
                                <w:bottom w:val="none" w:sz="0" w:space="0" w:color="auto"/>
                                <w:right w:val="none" w:sz="0" w:space="0" w:color="auto"/>
                              </w:divBdr>
                            </w:div>
                          </w:divsChild>
                        </w:div>
                        <w:div w:id="1180319717">
                          <w:marLeft w:val="0"/>
                          <w:marRight w:val="0"/>
                          <w:marTop w:val="0"/>
                          <w:marBottom w:val="0"/>
                          <w:divBdr>
                            <w:top w:val="none" w:sz="0" w:space="0" w:color="auto"/>
                            <w:left w:val="none" w:sz="0" w:space="0" w:color="auto"/>
                            <w:bottom w:val="none" w:sz="0" w:space="0" w:color="auto"/>
                            <w:right w:val="none" w:sz="0" w:space="0" w:color="auto"/>
                          </w:divBdr>
                          <w:divsChild>
                            <w:div w:id="1793133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6211523">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91704711">
              <w:marLeft w:val="0"/>
              <w:marRight w:val="0"/>
              <w:marTop w:val="0"/>
              <w:marBottom w:val="750"/>
              <w:divBdr>
                <w:top w:val="none" w:sz="0" w:space="0" w:color="auto"/>
                <w:left w:val="none" w:sz="0" w:space="0" w:color="auto"/>
                <w:bottom w:val="none" w:sz="0" w:space="0" w:color="auto"/>
                <w:right w:val="none" w:sz="0" w:space="0" w:color="auto"/>
              </w:divBdr>
              <w:divsChild>
                <w:div w:id="2125614279">
                  <w:marLeft w:val="0"/>
                  <w:marRight w:val="0"/>
                  <w:marTop w:val="0"/>
                  <w:marBottom w:val="0"/>
                  <w:divBdr>
                    <w:top w:val="none" w:sz="0" w:space="0" w:color="auto"/>
                    <w:left w:val="none" w:sz="0" w:space="0" w:color="auto"/>
                    <w:bottom w:val="none" w:sz="0" w:space="0" w:color="auto"/>
                    <w:right w:val="none" w:sz="0" w:space="0" w:color="auto"/>
                  </w:divBdr>
                  <w:divsChild>
                    <w:div w:id="1993824139">
                      <w:marLeft w:val="0"/>
                      <w:marRight w:val="0"/>
                      <w:marTop w:val="0"/>
                      <w:marBottom w:val="0"/>
                      <w:divBdr>
                        <w:top w:val="none" w:sz="0" w:space="0" w:color="auto"/>
                        <w:left w:val="none" w:sz="0" w:space="0" w:color="auto"/>
                        <w:bottom w:val="none" w:sz="0" w:space="0" w:color="auto"/>
                        <w:right w:val="none" w:sz="0" w:space="0" w:color="auto"/>
                      </w:divBdr>
                      <w:divsChild>
                        <w:div w:id="2016957809">
                          <w:marLeft w:val="0"/>
                          <w:marRight w:val="0"/>
                          <w:marTop w:val="0"/>
                          <w:marBottom w:val="0"/>
                          <w:divBdr>
                            <w:top w:val="none" w:sz="0" w:space="0" w:color="auto"/>
                            <w:left w:val="none" w:sz="0" w:space="0" w:color="auto"/>
                            <w:bottom w:val="none" w:sz="0" w:space="0" w:color="auto"/>
                            <w:right w:val="none" w:sz="0" w:space="0" w:color="auto"/>
                          </w:divBdr>
                          <w:divsChild>
                            <w:div w:id="21037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5578">
                      <w:marLeft w:val="0"/>
                      <w:marRight w:val="0"/>
                      <w:marTop w:val="0"/>
                      <w:marBottom w:val="0"/>
                      <w:divBdr>
                        <w:top w:val="none" w:sz="0" w:space="0" w:color="auto"/>
                        <w:left w:val="none" w:sz="0" w:space="0" w:color="auto"/>
                        <w:bottom w:val="none" w:sz="0" w:space="0" w:color="auto"/>
                        <w:right w:val="none" w:sz="0" w:space="0" w:color="auto"/>
                      </w:divBdr>
                      <w:divsChild>
                        <w:div w:id="852839775">
                          <w:marLeft w:val="0"/>
                          <w:marRight w:val="0"/>
                          <w:marTop w:val="0"/>
                          <w:marBottom w:val="0"/>
                          <w:divBdr>
                            <w:top w:val="none" w:sz="0" w:space="0" w:color="auto"/>
                            <w:left w:val="none" w:sz="0" w:space="0" w:color="auto"/>
                            <w:bottom w:val="none" w:sz="0" w:space="0" w:color="auto"/>
                            <w:right w:val="none" w:sz="0" w:space="0" w:color="auto"/>
                          </w:divBdr>
                          <w:divsChild>
                            <w:div w:id="1546287165">
                              <w:marLeft w:val="0"/>
                              <w:marRight w:val="0"/>
                              <w:marTop w:val="0"/>
                              <w:marBottom w:val="0"/>
                              <w:divBdr>
                                <w:top w:val="none" w:sz="0" w:space="0" w:color="auto"/>
                                <w:left w:val="none" w:sz="0" w:space="0" w:color="auto"/>
                                <w:bottom w:val="none" w:sz="0" w:space="0" w:color="auto"/>
                                <w:right w:val="none" w:sz="0" w:space="0" w:color="auto"/>
                              </w:divBdr>
                            </w:div>
                            <w:div w:id="667095853">
                              <w:marLeft w:val="0"/>
                              <w:marRight w:val="0"/>
                              <w:marTop w:val="0"/>
                              <w:marBottom w:val="0"/>
                              <w:divBdr>
                                <w:top w:val="none" w:sz="0" w:space="0" w:color="auto"/>
                                <w:left w:val="none" w:sz="0" w:space="0" w:color="auto"/>
                                <w:bottom w:val="none" w:sz="0" w:space="0" w:color="auto"/>
                                <w:right w:val="none" w:sz="0" w:space="0" w:color="auto"/>
                              </w:divBdr>
                              <w:divsChild>
                                <w:div w:id="1296175179">
                                  <w:marLeft w:val="0"/>
                                  <w:marRight w:val="0"/>
                                  <w:marTop w:val="0"/>
                                  <w:marBottom w:val="0"/>
                                  <w:divBdr>
                                    <w:top w:val="none" w:sz="0" w:space="0" w:color="auto"/>
                                    <w:left w:val="none" w:sz="0" w:space="0" w:color="auto"/>
                                    <w:bottom w:val="none" w:sz="0" w:space="0" w:color="auto"/>
                                    <w:right w:val="none" w:sz="0" w:space="0" w:color="auto"/>
                                  </w:divBdr>
                                  <w:divsChild>
                                    <w:div w:id="1693603728">
                                      <w:marLeft w:val="0"/>
                                      <w:marRight w:val="0"/>
                                      <w:marTop w:val="0"/>
                                      <w:marBottom w:val="0"/>
                                      <w:divBdr>
                                        <w:top w:val="none" w:sz="0" w:space="0" w:color="auto"/>
                                        <w:left w:val="none" w:sz="0" w:space="0" w:color="auto"/>
                                        <w:bottom w:val="none" w:sz="0" w:space="0" w:color="auto"/>
                                        <w:right w:val="none" w:sz="0" w:space="0" w:color="auto"/>
                                      </w:divBdr>
                                    </w:div>
                                  </w:divsChild>
                                </w:div>
                                <w:div w:id="20843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8593">
      <w:bodyDiv w:val="1"/>
      <w:marLeft w:val="0"/>
      <w:marRight w:val="0"/>
      <w:marTop w:val="0"/>
      <w:marBottom w:val="0"/>
      <w:divBdr>
        <w:top w:val="none" w:sz="0" w:space="0" w:color="auto"/>
        <w:left w:val="none" w:sz="0" w:space="0" w:color="auto"/>
        <w:bottom w:val="none" w:sz="0" w:space="0" w:color="auto"/>
        <w:right w:val="none" w:sz="0" w:space="0" w:color="auto"/>
      </w:divBdr>
    </w:div>
    <w:div w:id="1813718984">
      <w:bodyDiv w:val="1"/>
      <w:marLeft w:val="0"/>
      <w:marRight w:val="0"/>
      <w:marTop w:val="0"/>
      <w:marBottom w:val="0"/>
      <w:divBdr>
        <w:top w:val="none" w:sz="0" w:space="0" w:color="auto"/>
        <w:left w:val="none" w:sz="0" w:space="0" w:color="auto"/>
        <w:bottom w:val="none" w:sz="0" w:space="0" w:color="auto"/>
        <w:right w:val="none" w:sz="0" w:space="0" w:color="auto"/>
      </w:divBdr>
    </w:div>
    <w:div w:id="20287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40196-19B6-4A62-A07A-8C705A0B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3272</Words>
  <Characters>18654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змісту освіти</Company>
  <LinksUpToDate>false</LinksUpToDate>
  <CharactersWithSpaces>21883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Компютер 7</dc:creator>
  <cp:keywords/>
  <dc:description/>
  <cp:lastModifiedBy>XTreme.ws</cp:lastModifiedBy>
  <cp:revision>39</cp:revision>
  <cp:lastPrinted>2021-03-10T08:19:00Z</cp:lastPrinted>
  <dcterms:created xsi:type="dcterms:W3CDTF">2021-02-05T08:56:00Z</dcterms:created>
  <dcterms:modified xsi:type="dcterms:W3CDTF">2021-03-10T08:19:00Z</dcterms:modified>
</cp:coreProperties>
</file>