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F2" w:rsidRPr="003A3ED8" w:rsidRDefault="00A346F2" w:rsidP="008334DA">
      <w:pPr>
        <w:spacing w:beforeAutospacing="0" w:after="0"/>
        <w:jc w:val="center"/>
        <w:rPr>
          <w:rFonts w:ascii="Times New Roman" w:hAnsi="Times New Roman"/>
          <w:color w:val="000000"/>
          <w:sz w:val="28"/>
          <w:szCs w:val="28"/>
        </w:rPr>
      </w:pPr>
      <w:r w:rsidRPr="003A3ED8">
        <w:rPr>
          <w:rFonts w:ascii="Times New Roman" w:hAnsi="Times New Roman"/>
          <w:b/>
          <w:color w:val="000000"/>
          <w:sz w:val="28"/>
          <w:szCs w:val="28"/>
        </w:rPr>
        <w:t>Загальна  характеристика</w:t>
      </w:r>
      <w:r w:rsidRPr="003A3ED8">
        <w:rPr>
          <w:rFonts w:ascii="Times New Roman" w:hAnsi="Times New Roman"/>
          <w:color w:val="000000"/>
          <w:sz w:val="28"/>
          <w:szCs w:val="28"/>
        </w:rPr>
        <w:t xml:space="preserve">                                                                                                             програми з інфекційного контролю  та дотримання заходів                                                                  із запобігання інфекціям, пов’язаним з наданням медичної допомоги                                                         в </w:t>
      </w:r>
      <w:r>
        <w:rPr>
          <w:rFonts w:ascii="Times New Roman" w:hAnsi="Times New Roman"/>
          <w:color w:val="000000"/>
          <w:sz w:val="28"/>
          <w:szCs w:val="28"/>
        </w:rPr>
        <w:t>Самгородоцькій територіальній громаді на 2021</w:t>
      </w:r>
      <w:r w:rsidRPr="003A3ED8">
        <w:rPr>
          <w:rFonts w:ascii="Times New Roman" w:hAnsi="Times New Roman"/>
          <w:color w:val="000000"/>
          <w:sz w:val="28"/>
          <w:szCs w:val="28"/>
        </w:rPr>
        <w:t xml:space="preserve"> – 202</w:t>
      </w:r>
      <w:r>
        <w:rPr>
          <w:rFonts w:ascii="Times New Roman" w:hAnsi="Times New Roman"/>
          <w:color w:val="000000"/>
          <w:sz w:val="28"/>
          <w:szCs w:val="28"/>
        </w:rPr>
        <w:t>4</w:t>
      </w:r>
      <w:r w:rsidRPr="003A3ED8">
        <w:rPr>
          <w:rFonts w:ascii="Times New Roman" w:hAnsi="Times New Roman"/>
          <w:color w:val="000000"/>
          <w:sz w:val="28"/>
          <w:szCs w:val="28"/>
        </w:rPr>
        <w:t xml:space="preserve">  роки    </w:t>
      </w:r>
    </w:p>
    <w:p w:rsidR="00A346F2" w:rsidRPr="003A3ED8" w:rsidRDefault="00A346F2" w:rsidP="008334DA">
      <w:pPr>
        <w:spacing w:beforeAutospacing="0" w:after="0"/>
        <w:jc w:val="center"/>
        <w:rPr>
          <w:rFonts w:ascii="Times New Roman" w:hAnsi="Times New Roman"/>
          <w:color w:val="000000"/>
          <w:sz w:val="28"/>
          <w:szCs w:val="28"/>
        </w:rPr>
      </w:pPr>
      <w:r w:rsidRPr="003A3ED8">
        <w:rPr>
          <w:rFonts w:ascii="Times New Roman" w:hAnsi="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4485"/>
        <w:gridCol w:w="5004"/>
      </w:tblGrid>
      <w:tr w:rsidR="00A346F2" w:rsidRPr="00084FD8" w:rsidTr="00084FD8">
        <w:tc>
          <w:tcPr>
            <w:tcW w:w="566"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1</w:t>
            </w:r>
          </w:p>
        </w:tc>
        <w:tc>
          <w:tcPr>
            <w:tcW w:w="4485"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Ініціатор розроблення програми</w:t>
            </w:r>
          </w:p>
        </w:tc>
        <w:tc>
          <w:tcPr>
            <w:tcW w:w="5004"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Самгородоцька сільська рада</w:t>
            </w:r>
          </w:p>
        </w:tc>
      </w:tr>
      <w:tr w:rsidR="00A346F2" w:rsidRPr="00084FD8" w:rsidTr="00084FD8">
        <w:tc>
          <w:tcPr>
            <w:tcW w:w="566"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3</w:t>
            </w:r>
          </w:p>
        </w:tc>
        <w:tc>
          <w:tcPr>
            <w:tcW w:w="4485"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Розробник</w:t>
            </w:r>
          </w:p>
        </w:tc>
        <w:tc>
          <w:tcPr>
            <w:tcW w:w="5004"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 xml:space="preserve">КП «Центр первинної медико-санітарної допомоги Самгородоцької сільської ради» </w:t>
            </w:r>
          </w:p>
        </w:tc>
      </w:tr>
      <w:tr w:rsidR="00A346F2" w:rsidRPr="00084FD8" w:rsidTr="00084FD8">
        <w:tc>
          <w:tcPr>
            <w:tcW w:w="566"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4</w:t>
            </w:r>
          </w:p>
        </w:tc>
        <w:tc>
          <w:tcPr>
            <w:tcW w:w="4485"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Відповідальний виконавець</w:t>
            </w:r>
          </w:p>
        </w:tc>
        <w:tc>
          <w:tcPr>
            <w:tcW w:w="5004"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КП «Центр первинної медико-санітарної допомоги Самгородоцької сільської ради»</w:t>
            </w:r>
          </w:p>
        </w:tc>
      </w:tr>
      <w:tr w:rsidR="00A346F2" w:rsidRPr="00084FD8" w:rsidTr="00084FD8">
        <w:tc>
          <w:tcPr>
            <w:tcW w:w="566"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5</w:t>
            </w:r>
          </w:p>
        </w:tc>
        <w:tc>
          <w:tcPr>
            <w:tcW w:w="4485"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Термін реалізації програми</w:t>
            </w:r>
          </w:p>
        </w:tc>
        <w:tc>
          <w:tcPr>
            <w:tcW w:w="5004"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2021 – 2024 роки</w:t>
            </w:r>
          </w:p>
          <w:p w:rsidR="00A346F2" w:rsidRPr="00084FD8" w:rsidRDefault="00A346F2" w:rsidP="00084FD8">
            <w:pPr>
              <w:spacing w:beforeAutospacing="0" w:after="0"/>
              <w:rPr>
                <w:rFonts w:ascii="Times New Roman" w:hAnsi="Times New Roman"/>
                <w:color w:val="000000"/>
                <w:sz w:val="28"/>
                <w:szCs w:val="28"/>
              </w:rPr>
            </w:pPr>
          </w:p>
        </w:tc>
      </w:tr>
      <w:tr w:rsidR="00A346F2" w:rsidRPr="00084FD8" w:rsidTr="00084FD8">
        <w:tc>
          <w:tcPr>
            <w:tcW w:w="566"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6</w:t>
            </w:r>
          </w:p>
        </w:tc>
        <w:tc>
          <w:tcPr>
            <w:tcW w:w="4485"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Перелік  бюджетів, які беруть участь у виконанні програми (для комплексних програм)</w:t>
            </w:r>
          </w:p>
        </w:tc>
        <w:tc>
          <w:tcPr>
            <w:tcW w:w="5004"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Місцевий бюджет</w:t>
            </w:r>
          </w:p>
          <w:p w:rsidR="00A346F2" w:rsidRPr="00084FD8" w:rsidRDefault="00A346F2" w:rsidP="00084FD8">
            <w:pPr>
              <w:spacing w:beforeAutospacing="0" w:after="0"/>
              <w:rPr>
                <w:rFonts w:ascii="Times New Roman" w:hAnsi="Times New Roman"/>
                <w:color w:val="000000"/>
                <w:sz w:val="28"/>
                <w:szCs w:val="28"/>
              </w:rPr>
            </w:pPr>
          </w:p>
        </w:tc>
      </w:tr>
      <w:tr w:rsidR="00A346F2" w:rsidRPr="00084FD8" w:rsidTr="00084FD8">
        <w:tc>
          <w:tcPr>
            <w:tcW w:w="566"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7</w:t>
            </w:r>
          </w:p>
        </w:tc>
        <w:tc>
          <w:tcPr>
            <w:tcW w:w="4485" w:type="dxa"/>
          </w:tcPr>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 xml:space="preserve">Загальний обсяг фінансових ресурсів, необхідних для реалізації програми, всього:                                           </w:t>
            </w:r>
          </w:p>
        </w:tc>
        <w:tc>
          <w:tcPr>
            <w:tcW w:w="5004" w:type="dxa"/>
          </w:tcPr>
          <w:p w:rsidR="00A346F2" w:rsidRPr="00084FD8" w:rsidRDefault="00A346F2" w:rsidP="00084FD8">
            <w:pPr>
              <w:spacing w:beforeAutospacing="0" w:after="0"/>
              <w:rPr>
                <w:rFonts w:ascii="Times New Roman" w:hAnsi="Times New Roman"/>
                <w:color w:val="000000"/>
                <w:sz w:val="28"/>
                <w:szCs w:val="28"/>
              </w:rPr>
            </w:pPr>
          </w:p>
          <w:p w:rsidR="00A346F2" w:rsidRPr="00084FD8" w:rsidRDefault="00A346F2" w:rsidP="00084FD8">
            <w:pPr>
              <w:spacing w:beforeAutospacing="0" w:after="0"/>
              <w:rPr>
                <w:rFonts w:ascii="Times New Roman" w:hAnsi="Times New Roman"/>
                <w:color w:val="000000"/>
                <w:sz w:val="28"/>
                <w:szCs w:val="28"/>
              </w:rPr>
            </w:pPr>
            <w:r w:rsidRPr="00084FD8">
              <w:rPr>
                <w:rFonts w:ascii="Times New Roman" w:hAnsi="Times New Roman"/>
                <w:color w:val="000000"/>
                <w:sz w:val="28"/>
                <w:szCs w:val="28"/>
              </w:rPr>
              <w:t xml:space="preserve">    3896,78 тис. грн.</w:t>
            </w:r>
          </w:p>
        </w:tc>
      </w:tr>
    </w:tbl>
    <w:p w:rsidR="00A346F2" w:rsidRPr="003A3ED8" w:rsidRDefault="00A346F2" w:rsidP="008334DA">
      <w:pPr>
        <w:spacing w:beforeAutospacing="0" w:after="0"/>
        <w:rPr>
          <w:rFonts w:ascii="Times New Roman" w:hAnsi="Times New Roman"/>
          <w:color w:val="000000"/>
          <w:sz w:val="28"/>
          <w:szCs w:val="28"/>
        </w:rPr>
      </w:pPr>
    </w:p>
    <w:p w:rsidR="00A346F2" w:rsidRPr="003A3ED8" w:rsidRDefault="00A346F2" w:rsidP="008334DA">
      <w:pPr>
        <w:spacing w:beforeAutospacing="0" w:after="0"/>
        <w:rPr>
          <w:rFonts w:ascii="Times New Roman" w:hAnsi="Times New Roman"/>
          <w:b/>
          <w:color w:val="000000"/>
          <w:sz w:val="28"/>
          <w:szCs w:val="28"/>
        </w:rPr>
      </w:pPr>
      <w:r w:rsidRPr="003A3ED8">
        <w:rPr>
          <w:rFonts w:ascii="Times New Roman" w:hAnsi="Times New Roman"/>
          <w:color w:val="000000"/>
          <w:sz w:val="28"/>
          <w:szCs w:val="28"/>
        </w:rPr>
        <w:t xml:space="preserve">     </w:t>
      </w:r>
      <w:r w:rsidRPr="003A3ED8">
        <w:rPr>
          <w:rFonts w:ascii="Times New Roman" w:hAnsi="Times New Roman"/>
          <w:b/>
          <w:color w:val="000000"/>
          <w:sz w:val="28"/>
          <w:szCs w:val="28"/>
        </w:rPr>
        <w:t xml:space="preserve">                                                       І.  Загальні положення</w:t>
      </w:r>
    </w:p>
    <w:p w:rsidR="00A346F2" w:rsidRPr="003A3ED8" w:rsidRDefault="00A346F2" w:rsidP="008334DA">
      <w:pPr>
        <w:spacing w:beforeAutospacing="0" w:after="0"/>
        <w:rPr>
          <w:rFonts w:ascii="Times New Roman" w:hAnsi="Times New Roman"/>
          <w:color w:val="000000"/>
          <w:sz w:val="28"/>
          <w:szCs w:val="28"/>
        </w:rPr>
      </w:pP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Інфекційний контроль - комплекс заходів, який направлений на попередження інфікування при наданні медичних послуг.</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Заходи включають в себе своєчасну вакцинацію і ревакцинацію, використання засобів індивідуального захисту, дотримання правил особистої гігієни і профілактики, проходження щорічних медоглядів та ін.</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Складна епідситуація вимагає приділяти підвищену увагу до запобігання поширенню інфекцій, пов'язаних з наданням медичних послуг і посилює вимоги до якості дезінфекції виробів медичного призначення, інструментів і об'єктів лікарняного середовища. Тому у всіх лікувальних установах проводяться заходи, спрямовані на забезпечення інфекційної безпеки. Високий рівень цієї захворюваності, на думку експертів ВООЗ, пов’язаний з ростом стійкості збудників внутрішньо-лікарняних інфекцій до дії протимікробних препаратів (антибіотиків, антисептиків, дезінфектантів), відсутністю ефективної системи контролю за інфекціями.</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 xml:space="preserve"> Ризик захворювання на внутрішньо- лікарняні інфекції поширюється як на пацієнтів, так і на працівників закладів охорони здоров’я, а також відвідувачів. Рівень захворюваності на ці  інфекції у розвинених країнах світу досягає до 44%. За визначенням ВООЗ кожний десятий пацієнт інфікується збудниками внутрішньо-лікарняних інфекцій.</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p>
    <w:p w:rsidR="00A346F2" w:rsidRPr="003A3ED8" w:rsidRDefault="00A346F2" w:rsidP="003A3ED8">
      <w:pPr>
        <w:spacing w:beforeAutospacing="0" w:after="0"/>
        <w:ind w:firstLine="426"/>
        <w:jc w:val="center"/>
        <w:rPr>
          <w:rFonts w:ascii="Times New Roman" w:hAnsi="Times New Roman"/>
          <w:b/>
          <w:color w:val="000000"/>
          <w:sz w:val="28"/>
          <w:szCs w:val="28"/>
        </w:rPr>
      </w:pPr>
      <w:r w:rsidRPr="003A3ED8">
        <w:rPr>
          <w:rFonts w:ascii="Times New Roman" w:hAnsi="Times New Roman"/>
          <w:b/>
          <w:color w:val="000000"/>
          <w:sz w:val="28"/>
          <w:szCs w:val="28"/>
        </w:rPr>
        <w:t>ІІ.  Мета Програми та шляхи її досягнення</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Програма інфекційного контролю розроблена для формування єдиної системи профілактики та зменшення випадків інфекційних захворювань під час надання медичних послуг в  ЛПЗ району за рахунок вдосконалення комплексу профілактичних та протиепідемічних заходів, а також впровадження ефективної системи епідемічного нагляду за внутрішньо-лікарняними інфекціями, покращення забезпеченості ЛПЗ району сучасними засобами дезінфекції, обладнанням для стерилізації та своєчасної діагностики інфекцій, що сприятиме ефективності лікування. Програма діє для всіх працівників, пацієнтів та  відвідувачів. До неї входить виявлення та реєстрація випадків, епідрозслідування випадків та спалахів захворювань, виявлення причин інфікування, які спровокували виникнення захворювання та розробку конкретних заходів спрямованих на зниження інфекцій та їх профілактики.</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xml:space="preserve">Прийняття запропонованої Програми має на меті забезпечення безпечності медичних послуг, що надаються населенню району шляхом: </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забезпечення створення ефективної системи моніторингу поширення внутрішньо-лікарняних інфекційних захворювань;</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удосконалення системи епідеміологічного нагляду за внутрішньо- лікарняними інфекціями та моніторингу за формуванням стійкості їх збудників до протимікробних препаратів;</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підвищення рівня підготовки фахівців з питань здійснення інфекційного контролю за навчальними програмами до – і післядипломної підготовки лікарів,  середніх медпрацівників та програми безперервного професійного розвитку лікарів;</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зміцнення матеріально-технічної бази ЛПЗ району;</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xml:space="preserve"> - дотримання протиепідемічного режиму шляхом забезпечення сучасним обладнанням та засобами дезінфекції;</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визначення пріоритетних напрямків фінансування та першочергового забезпечення необхідним обладнанням, засобами та реактивами;</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створення умов для  доступності гарантовано безпечних медичних послуг населенню району.</w:t>
      </w:r>
    </w:p>
    <w:p w:rsidR="00A346F2" w:rsidRPr="003A3ED8" w:rsidRDefault="00A346F2" w:rsidP="003A3ED8">
      <w:pPr>
        <w:spacing w:beforeAutospacing="0" w:after="0"/>
        <w:ind w:firstLine="426"/>
        <w:jc w:val="center"/>
        <w:rPr>
          <w:rFonts w:ascii="Times New Roman" w:hAnsi="Times New Roman"/>
          <w:b/>
          <w:color w:val="000000"/>
          <w:sz w:val="28"/>
          <w:szCs w:val="28"/>
        </w:rPr>
      </w:pPr>
      <w:r w:rsidRPr="003A3ED8">
        <w:rPr>
          <w:rFonts w:ascii="Times New Roman" w:hAnsi="Times New Roman"/>
          <w:b/>
          <w:color w:val="000000"/>
          <w:sz w:val="28"/>
          <w:szCs w:val="28"/>
        </w:rPr>
        <w:t>ІІІ. Завдання і заходи Програми</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Інфекційна безпека в лікувальних установах в першу чергу передбачає дотримання стандартів з інфекційного контролю.</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 xml:space="preserve"> Поняття інфекційної безпеки в закладі охорони здоров’я необхідно розглядати в таких аспектах: </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1 - система управління біологічними факторами ризику з метою їх усунення, ослаблення або подолання спровокованих ними наслідків;</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2 - сукупність профілактичних заходів, спрямованих на недопущення поширення небезпечних інфекційних захворювань серед пацієнтів і персоналу  при отриманні медичних послуг.</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3 – профілактика професійного інфікування медичного персоналу та контроль постконтактних заходів при позаштатних ситуаціях.</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4 – розробка документів з інфекційного контролю в ЗОЗ.</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5 – проведення навчання працівників, забезпечення навчання пацієнтів з питань інфекційного контролю та контроль їх знань.</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6 – здійснювати перевірки у всіх підрозділах ЛПЗ по дотримуванню інфекційного контролю.</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Основними принципами інфекційної безпеки в закладах охорони здоров'я є:</w:t>
      </w:r>
    </w:p>
    <w:p w:rsidR="00A346F2" w:rsidRPr="003A3ED8" w:rsidRDefault="00A346F2" w:rsidP="003A3ED8">
      <w:pPr>
        <w:spacing w:beforeAutospacing="0" w:after="0"/>
        <w:rPr>
          <w:rFonts w:ascii="Times New Roman" w:hAnsi="Times New Roman"/>
          <w:color w:val="000000"/>
          <w:sz w:val="28"/>
          <w:szCs w:val="28"/>
        </w:rPr>
      </w:pPr>
      <w:r w:rsidRPr="003A3ED8">
        <w:rPr>
          <w:rFonts w:ascii="Times New Roman" w:hAnsi="Times New Roman"/>
          <w:color w:val="000000"/>
          <w:sz w:val="28"/>
          <w:szCs w:val="28"/>
        </w:rPr>
        <w:t xml:space="preserve">1 </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w:t>
      </w:r>
      <w:r>
        <w:rPr>
          <w:rFonts w:ascii="Times New Roman" w:hAnsi="Times New Roman"/>
          <w:color w:val="000000"/>
          <w:sz w:val="28"/>
          <w:szCs w:val="28"/>
        </w:rPr>
        <w:t xml:space="preserve"> </w:t>
      </w:r>
      <w:r w:rsidRPr="003A3ED8">
        <w:rPr>
          <w:rFonts w:ascii="Times New Roman" w:hAnsi="Times New Roman"/>
          <w:color w:val="000000"/>
          <w:sz w:val="28"/>
          <w:szCs w:val="28"/>
        </w:rPr>
        <w:t>до будь-якого пацієнта слід ставитися як до потенційного джерела інфекції;</w:t>
      </w:r>
    </w:p>
    <w:p w:rsidR="00A346F2" w:rsidRPr="003A3ED8" w:rsidRDefault="00A346F2" w:rsidP="003A3ED8">
      <w:pPr>
        <w:spacing w:beforeAutospacing="0" w:after="0"/>
        <w:rPr>
          <w:rFonts w:ascii="Times New Roman" w:hAnsi="Times New Roman"/>
          <w:color w:val="000000"/>
          <w:sz w:val="28"/>
          <w:szCs w:val="28"/>
        </w:rPr>
      </w:pPr>
      <w:r w:rsidRPr="003A3ED8">
        <w:rPr>
          <w:rFonts w:ascii="Times New Roman" w:hAnsi="Times New Roman"/>
          <w:color w:val="000000"/>
          <w:sz w:val="28"/>
          <w:szCs w:val="28"/>
        </w:rPr>
        <w:t>2</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гігієнічна обробка рук - обов'язкова умова, до надягання і після зняття рукавичок незалежно від мети їх використання;</w:t>
      </w:r>
    </w:p>
    <w:p w:rsidR="00A346F2" w:rsidRPr="003A3ED8" w:rsidRDefault="00A346F2" w:rsidP="003A3ED8">
      <w:pPr>
        <w:spacing w:beforeAutospacing="0" w:after="0"/>
        <w:rPr>
          <w:rFonts w:ascii="Times New Roman" w:hAnsi="Times New Roman"/>
          <w:color w:val="000000"/>
          <w:sz w:val="28"/>
          <w:szCs w:val="28"/>
        </w:rPr>
      </w:pPr>
      <w:r w:rsidRPr="003A3ED8">
        <w:rPr>
          <w:rFonts w:ascii="Times New Roman" w:hAnsi="Times New Roman"/>
          <w:color w:val="000000"/>
          <w:sz w:val="28"/>
          <w:szCs w:val="28"/>
        </w:rPr>
        <w:t>3</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використання рукавичок обов'язково при контакті зі слизовими оболонками хворого і при контакті з використаним інструментарієм;</w:t>
      </w:r>
    </w:p>
    <w:p w:rsidR="00A346F2" w:rsidRPr="003A3ED8" w:rsidRDefault="00A346F2" w:rsidP="003A3ED8">
      <w:pPr>
        <w:spacing w:beforeAutospacing="0" w:after="0"/>
        <w:rPr>
          <w:rFonts w:ascii="Times New Roman" w:hAnsi="Times New Roman"/>
          <w:color w:val="000000"/>
          <w:sz w:val="28"/>
          <w:szCs w:val="28"/>
        </w:rPr>
      </w:pPr>
      <w:r w:rsidRPr="003A3ED8">
        <w:rPr>
          <w:rFonts w:ascii="Times New Roman" w:hAnsi="Times New Roman"/>
          <w:color w:val="000000"/>
          <w:sz w:val="28"/>
          <w:szCs w:val="28"/>
        </w:rPr>
        <w:t>4</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при наявності ризику розбризкування біологічних рідин обов'язково використовуються захисні окуляри;</w:t>
      </w:r>
    </w:p>
    <w:p w:rsidR="00A346F2" w:rsidRPr="003A3ED8" w:rsidRDefault="00A346F2" w:rsidP="003A3ED8">
      <w:pPr>
        <w:spacing w:beforeAutospacing="0" w:after="0"/>
        <w:rPr>
          <w:rFonts w:ascii="Times New Roman" w:hAnsi="Times New Roman"/>
          <w:color w:val="000000"/>
          <w:sz w:val="28"/>
          <w:szCs w:val="28"/>
        </w:rPr>
      </w:pPr>
      <w:r w:rsidRPr="003A3ED8">
        <w:rPr>
          <w:rFonts w:ascii="Times New Roman" w:hAnsi="Times New Roman"/>
          <w:color w:val="000000"/>
          <w:sz w:val="28"/>
          <w:szCs w:val="28"/>
        </w:rPr>
        <w:t xml:space="preserve">5 </w:t>
      </w:r>
      <w:r>
        <w:rPr>
          <w:rFonts w:ascii="Times New Roman" w:hAnsi="Times New Roman"/>
          <w:color w:val="000000"/>
          <w:sz w:val="28"/>
          <w:szCs w:val="28"/>
        </w:rPr>
        <w:t xml:space="preserve"> </w:t>
      </w:r>
      <w:r w:rsidRPr="003A3ED8">
        <w:rPr>
          <w:rFonts w:ascii="Times New Roman" w:hAnsi="Times New Roman"/>
          <w:color w:val="000000"/>
          <w:sz w:val="28"/>
          <w:szCs w:val="28"/>
        </w:rPr>
        <w:t>-</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забруднені засоби індивідуального захисту підлягають заміні;</w:t>
      </w:r>
    </w:p>
    <w:p w:rsidR="00A346F2" w:rsidRPr="003A3ED8" w:rsidRDefault="00A346F2" w:rsidP="003A3ED8">
      <w:pPr>
        <w:spacing w:beforeAutospacing="0" w:after="0"/>
        <w:rPr>
          <w:rFonts w:ascii="Times New Roman" w:hAnsi="Times New Roman"/>
          <w:color w:val="000000"/>
          <w:sz w:val="28"/>
          <w:szCs w:val="28"/>
        </w:rPr>
      </w:pPr>
      <w:r w:rsidRPr="003A3ED8">
        <w:rPr>
          <w:rFonts w:ascii="Times New Roman" w:hAnsi="Times New Roman"/>
          <w:color w:val="000000"/>
          <w:sz w:val="28"/>
          <w:szCs w:val="28"/>
        </w:rPr>
        <w:t xml:space="preserve">6 </w:t>
      </w:r>
      <w:r>
        <w:rPr>
          <w:rFonts w:ascii="Times New Roman" w:hAnsi="Times New Roman"/>
          <w:color w:val="000000"/>
          <w:sz w:val="28"/>
          <w:szCs w:val="28"/>
        </w:rPr>
        <w:t xml:space="preserve"> </w:t>
      </w:r>
      <w:r w:rsidRPr="003A3ED8">
        <w:rPr>
          <w:rFonts w:ascii="Times New Roman" w:hAnsi="Times New Roman"/>
          <w:color w:val="000000"/>
          <w:sz w:val="28"/>
          <w:szCs w:val="28"/>
        </w:rPr>
        <w:t>-</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ковпачки на використані голки не надягати;</w:t>
      </w:r>
    </w:p>
    <w:p w:rsidR="00A346F2" w:rsidRPr="003A3ED8" w:rsidRDefault="00A346F2" w:rsidP="003A3ED8">
      <w:pPr>
        <w:spacing w:beforeAutospacing="0" w:after="0"/>
        <w:rPr>
          <w:rFonts w:ascii="Times New Roman" w:hAnsi="Times New Roman"/>
          <w:color w:val="000000"/>
          <w:sz w:val="28"/>
          <w:szCs w:val="28"/>
        </w:rPr>
      </w:pPr>
      <w:r w:rsidRPr="003A3ED8">
        <w:rPr>
          <w:rFonts w:ascii="Times New Roman" w:hAnsi="Times New Roman"/>
          <w:color w:val="000000"/>
          <w:sz w:val="28"/>
          <w:szCs w:val="28"/>
        </w:rPr>
        <w:t xml:space="preserve">7 </w:t>
      </w:r>
      <w:r>
        <w:rPr>
          <w:rFonts w:ascii="Times New Roman" w:hAnsi="Times New Roman"/>
          <w:color w:val="000000"/>
          <w:sz w:val="28"/>
          <w:szCs w:val="28"/>
        </w:rPr>
        <w:t xml:space="preserve"> </w:t>
      </w:r>
      <w:r w:rsidRPr="003A3ED8">
        <w:rPr>
          <w:rFonts w:ascii="Times New Roman" w:hAnsi="Times New Roman"/>
          <w:color w:val="000000"/>
          <w:sz w:val="28"/>
          <w:szCs w:val="28"/>
        </w:rPr>
        <w:t>-</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постановка судинних катетерів і догляд за ними - компетенція спеціально навченого персоналу;</w:t>
      </w:r>
    </w:p>
    <w:p w:rsidR="00A346F2" w:rsidRPr="003A3ED8" w:rsidRDefault="00A346F2" w:rsidP="003A3ED8">
      <w:pPr>
        <w:spacing w:beforeAutospacing="0" w:after="0"/>
        <w:rPr>
          <w:rFonts w:ascii="Times New Roman" w:hAnsi="Times New Roman"/>
          <w:color w:val="000000"/>
          <w:sz w:val="28"/>
          <w:szCs w:val="28"/>
        </w:rPr>
      </w:pPr>
      <w:r w:rsidRPr="003A3ED8">
        <w:rPr>
          <w:rFonts w:ascii="Times New Roman" w:hAnsi="Times New Roman"/>
          <w:color w:val="000000"/>
          <w:sz w:val="28"/>
          <w:szCs w:val="28"/>
        </w:rPr>
        <w:t>8</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сечовий катетер встановлюється тільки в стерильних одноразових рукавичках;</w:t>
      </w:r>
    </w:p>
    <w:p w:rsidR="00A346F2" w:rsidRPr="003A3ED8" w:rsidRDefault="00A346F2" w:rsidP="003A3ED8">
      <w:pPr>
        <w:spacing w:beforeAutospacing="0" w:after="0"/>
        <w:rPr>
          <w:rFonts w:ascii="Times New Roman" w:hAnsi="Times New Roman"/>
          <w:color w:val="000000"/>
          <w:sz w:val="28"/>
          <w:szCs w:val="28"/>
        </w:rPr>
      </w:pPr>
      <w:r w:rsidRPr="003A3ED8">
        <w:rPr>
          <w:rFonts w:ascii="Times New Roman" w:hAnsi="Times New Roman"/>
          <w:color w:val="000000"/>
          <w:sz w:val="28"/>
          <w:szCs w:val="28"/>
        </w:rPr>
        <w:t xml:space="preserve">9 </w:t>
      </w:r>
      <w:r>
        <w:rPr>
          <w:rFonts w:ascii="Times New Roman" w:hAnsi="Times New Roman"/>
          <w:color w:val="000000"/>
          <w:sz w:val="28"/>
          <w:szCs w:val="28"/>
        </w:rPr>
        <w:t xml:space="preserve"> </w:t>
      </w:r>
      <w:r w:rsidRPr="003A3ED8">
        <w:rPr>
          <w:rFonts w:ascii="Times New Roman" w:hAnsi="Times New Roman"/>
          <w:color w:val="000000"/>
          <w:sz w:val="28"/>
          <w:szCs w:val="28"/>
        </w:rPr>
        <w:t>-</w:t>
      </w:r>
      <w:r>
        <w:rPr>
          <w:rFonts w:ascii="Times New Roman" w:hAnsi="Times New Roman"/>
          <w:color w:val="000000"/>
          <w:sz w:val="28"/>
          <w:szCs w:val="28"/>
        </w:rPr>
        <w:t xml:space="preserve"> </w:t>
      </w:r>
      <w:r w:rsidRPr="003A3ED8">
        <w:rPr>
          <w:rFonts w:ascii="Times New Roman" w:hAnsi="Times New Roman"/>
          <w:color w:val="000000"/>
          <w:sz w:val="28"/>
          <w:szCs w:val="28"/>
        </w:rPr>
        <w:t xml:space="preserve"> повторне використання виробів, на заводській упаковці яких зазначено «для одноразового застосування» строго заборонено.</w:t>
      </w:r>
    </w:p>
    <w:p w:rsidR="00A346F2" w:rsidRPr="003A3ED8" w:rsidRDefault="00A346F2" w:rsidP="003A3ED8">
      <w:pPr>
        <w:spacing w:beforeAutospacing="0" w:after="0"/>
        <w:ind w:firstLine="426"/>
        <w:jc w:val="center"/>
        <w:rPr>
          <w:rFonts w:ascii="Times New Roman" w:hAnsi="Times New Roman"/>
          <w:color w:val="000000"/>
          <w:sz w:val="28"/>
          <w:szCs w:val="28"/>
        </w:rPr>
      </w:pPr>
    </w:p>
    <w:p w:rsidR="00A346F2" w:rsidRDefault="00A346F2" w:rsidP="003A3ED8">
      <w:pPr>
        <w:spacing w:beforeAutospacing="0" w:after="0"/>
        <w:ind w:firstLine="426"/>
        <w:jc w:val="center"/>
        <w:rPr>
          <w:rFonts w:ascii="Times New Roman" w:hAnsi="Times New Roman"/>
          <w:b/>
          <w:color w:val="000000"/>
          <w:sz w:val="28"/>
          <w:szCs w:val="28"/>
        </w:rPr>
      </w:pPr>
      <w:r w:rsidRPr="003A3ED8">
        <w:rPr>
          <w:rFonts w:ascii="Times New Roman" w:hAnsi="Times New Roman"/>
          <w:b/>
          <w:color w:val="000000"/>
          <w:sz w:val="28"/>
          <w:szCs w:val="28"/>
        </w:rPr>
        <w:t>ІV.  Напрямки реалізації та заходи Програми.</w:t>
      </w:r>
    </w:p>
    <w:p w:rsidR="00A346F2" w:rsidRPr="003A3ED8" w:rsidRDefault="00A346F2" w:rsidP="003A3ED8">
      <w:pPr>
        <w:spacing w:beforeAutospacing="0" w:after="0"/>
        <w:ind w:firstLine="426"/>
        <w:jc w:val="center"/>
        <w:rPr>
          <w:rFonts w:ascii="Times New Roman" w:hAnsi="Times New Roman"/>
          <w:b/>
          <w:color w:val="000000"/>
          <w:sz w:val="28"/>
          <w:szCs w:val="28"/>
        </w:rPr>
      </w:pPr>
      <w:r w:rsidRPr="003A3ED8">
        <w:rPr>
          <w:rFonts w:ascii="Times New Roman" w:hAnsi="Times New Roman"/>
          <w:b/>
          <w:color w:val="000000"/>
          <w:sz w:val="28"/>
          <w:szCs w:val="28"/>
        </w:rPr>
        <w:t xml:space="preserve">  Обсяги та джерела фінансування.</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Основними напрямками реалізації програми є:</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поліпшення епіднагляду за профілактикою інфекцій, пов’язаних з наданням медичної допомоги (туберкульоз, ВІЛ/СНІД, грип, вірусний гепатит, тощо);</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забезпечення моніторингу епідемічної ситуації щодо інфекцій пов’язаних з наданням медичної допомоги;</w:t>
      </w:r>
    </w:p>
    <w:p w:rsidR="00A346F2" w:rsidRPr="003A3ED8" w:rsidRDefault="00A346F2" w:rsidP="003A3ED8">
      <w:pPr>
        <w:shd w:val="clear" w:color="auto" w:fill="FFFFFF"/>
        <w:spacing w:beforeAutospacing="0" w:after="0"/>
        <w:ind w:firstLine="426"/>
        <w:jc w:val="both"/>
        <w:rPr>
          <w:rFonts w:ascii="Times New Roman" w:hAnsi="Times New Roman"/>
          <w:color w:val="000000"/>
          <w:sz w:val="28"/>
          <w:szCs w:val="28"/>
          <w:lang w:eastAsia="ru-RU"/>
        </w:rPr>
      </w:pPr>
      <w:r w:rsidRPr="003A3ED8">
        <w:rPr>
          <w:rFonts w:ascii="Times New Roman" w:hAnsi="Times New Roman"/>
          <w:color w:val="000000"/>
          <w:sz w:val="28"/>
          <w:szCs w:val="28"/>
        </w:rPr>
        <w:t xml:space="preserve">-поліпшення матеріально-технічної бази ЛПЗ району та </w:t>
      </w:r>
      <w:r w:rsidRPr="003A3ED8">
        <w:rPr>
          <w:rFonts w:ascii="Times New Roman" w:hAnsi="Times New Roman"/>
          <w:bCs/>
          <w:color w:val="000000"/>
          <w:sz w:val="28"/>
          <w:szCs w:val="28"/>
          <w:lang w:eastAsia="ru-RU"/>
        </w:rPr>
        <w:t>забезпечення інфекційної безпеки медичного персоналу на робочих місцях:</w:t>
      </w:r>
      <w:r w:rsidRPr="003A3ED8">
        <w:rPr>
          <w:rFonts w:ascii="Times New Roman" w:hAnsi="Times New Roman"/>
          <w:color w:val="000000"/>
          <w:sz w:val="28"/>
          <w:szCs w:val="28"/>
          <w:lang w:eastAsia="ru-RU"/>
        </w:rPr>
        <w:t xml:space="preserve"> </w:t>
      </w:r>
    </w:p>
    <w:p w:rsidR="00A346F2" w:rsidRPr="003A3ED8" w:rsidRDefault="00A346F2" w:rsidP="003A3ED8">
      <w:pPr>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Заборонено носити спецодяг поза основними приміщеннями.</w:t>
      </w:r>
    </w:p>
    <w:p w:rsidR="00A346F2" w:rsidRPr="003A3ED8" w:rsidRDefault="00A346F2" w:rsidP="003A3ED8">
      <w:pPr>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Спецодяг зберігається в спеціально відведених індивідуальних шафах окремо від одягу і особистих  речей працівників.</w:t>
      </w:r>
    </w:p>
    <w:p w:rsidR="00A346F2" w:rsidRPr="003A3ED8" w:rsidRDefault="00A346F2" w:rsidP="003A3ED8">
      <w:pPr>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Захисні рукавички надягають обов'язково, якщо має бути маніпуляція, пов'язана з прямими або випадковими контактами з кров'ю або іншими біологічними рідинами, а також при роботі з предметами і об'єктами, забрудненими кров'ю або іншими потенційно небезпечними біоматеріалами.</w:t>
      </w:r>
    </w:p>
    <w:p w:rsidR="00A346F2" w:rsidRPr="003A3ED8" w:rsidRDefault="00A346F2" w:rsidP="003A3ED8">
      <w:pPr>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При підозрі на порушення цілісності рукавичок їх слід негайно зняти і замінити новими.</w:t>
      </w:r>
    </w:p>
    <w:p w:rsidR="00A346F2" w:rsidRPr="003A3ED8" w:rsidRDefault="00A346F2" w:rsidP="003A3ED8">
      <w:pPr>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Руки рекомендується мити після кожної проведеної процедури і в кінці робочої зміни.</w:t>
      </w:r>
    </w:p>
    <w:p w:rsidR="00A346F2" w:rsidRPr="003A3ED8" w:rsidRDefault="00A346F2" w:rsidP="003A3ED8">
      <w:pPr>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Для того, щоб захистити обличчя і очі від попадання бризок зараженого біологічного матеріалу, рекомендовано використовувати захисні окуляри.</w:t>
      </w:r>
    </w:p>
    <w:p w:rsidR="00A346F2" w:rsidRPr="003A3ED8" w:rsidRDefault="00A346F2" w:rsidP="003A3ED8">
      <w:pPr>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Всі ємкості і контейнери, призначені для проведення дезінфекції чи видалення використаних матеріалів та інструментів, повинні мати чітке маркування.</w:t>
      </w:r>
    </w:p>
    <w:p w:rsidR="00A346F2" w:rsidRPr="003A3ED8" w:rsidRDefault="00A346F2" w:rsidP="003A3ED8">
      <w:pPr>
        <w:pStyle w:val="ListParagraph"/>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Всі гострі інструменти та засоби індивідуального захисту повинні відкриватися   безпосередньо перед початком медичної процедури.</w:t>
      </w:r>
    </w:p>
    <w:p w:rsidR="00A346F2" w:rsidRPr="003A3ED8" w:rsidRDefault="00A346F2" w:rsidP="003A3ED8">
      <w:pPr>
        <w:pStyle w:val="ListParagraph"/>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Інструменти і обладнання піддаються стерилізації та дезінфекції  безпосередньо після використання.</w:t>
      </w:r>
    </w:p>
    <w:p w:rsidR="00A346F2" w:rsidRDefault="00A346F2" w:rsidP="003A3ED8">
      <w:pPr>
        <w:pStyle w:val="ListParagraph"/>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Контейнери для збору голок і гострих предметів повинні звільнятися своєчасно.</w:t>
      </w:r>
    </w:p>
    <w:p w:rsidR="00A346F2" w:rsidRPr="003A3ED8" w:rsidRDefault="00A346F2" w:rsidP="003A3ED8">
      <w:pPr>
        <w:pStyle w:val="ListParagraph"/>
        <w:numPr>
          <w:ilvl w:val="0"/>
          <w:numId w:val="4"/>
        </w:numPr>
        <w:shd w:val="clear" w:color="auto" w:fill="FFFFFF"/>
        <w:spacing w:beforeAutospacing="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Для збору мокротиння використовувати індивідуальні одноразові контейнери.</w:t>
      </w:r>
    </w:p>
    <w:p w:rsidR="00A346F2" w:rsidRPr="003A3ED8" w:rsidRDefault="00A346F2" w:rsidP="003A3ED8">
      <w:pPr>
        <w:pStyle w:val="ListParagraph"/>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 xml:space="preserve"> Засоби індивідуального захисту медичного персоналу повинні зберігатися в доступному місці (так, щоб працівники могли без проблем взяти їх) і обов'язкові для використання під час проведення інвазивних процедур та оперативних </w:t>
      </w:r>
      <w:r>
        <w:rPr>
          <w:rFonts w:ascii="Times New Roman" w:hAnsi="Times New Roman"/>
          <w:color w:val="000000"/>
          <w:sz w:val="28"/>
          <w:szCs w:val="28"/>
          <w:lang w:eastAsia="ru-RU"/>
        </w:rPr>
        <w:t>у</w:t>
      </w:r>
      <w:r w:rsidRPr="003A3ED8">
        <w:rPr>
          <w:rFonts w:ascii="Times New Roman" w:hAnsi="Times New Roman"/>
          <w:color w:val="000000"/>
          <w:sz w:val="28"/>
          <w:szCs w:val="28"/>
          <w:lang w:eastAsia="ru-RU"/>
        </w:rPr>
        <w:t>тручань.</w:t>
      </w:r>
    </w:p>
    <w:p w:rsidR="00A346F2" w:rsidRPr="003A3ED8" w:rsidRDefault="00A346F2" w:rsidP="003A3ED8">
      <w:pPr>
        <w:pStyle w:val="ListParagraph"/>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 xml:space="preserve"> Склад і стан будь-яких засобів індивідуального захисту (водонепроникні пов'язки різних розмірів для працівників із саднами і травмами шкіри, стійкі до проколів стерильні і нестерильні рукавички всіх ро</w:t>
      </w:r>
      <w:r>
        <w:rPr>
          <w:rFonts w:ascii="Times New Roman" w:hAnsi="Times New Roman"/>
          <w:color w:val="000000"/>
          <w:sz w:val="28"/>
          <w:szCs w:val="28"/>
          <w:lang w:eastAsia="ru-RU"/>
        </w:rPr>
        <w:t>змірів, маски, респіратори, бахі</w:t>
      </w:r>
      <w:r w:rsidRPr="003A3ED8">
        <w:rPr>
          <w:rFonts w:ascii="Times New Roman" w:hAnsi="Times New Roman"/>
          <w:color w:val="000000"/>
          <w:sz w:val="28"/>
          <w:szCs w:val="28"/>
          <w:lang w:eastAsia="ru-RU"/>
        </w:rPr>
        <w:t>ли, пристосування для захисту органів зору та ін.) підлягають  контролю.</w:t>
      </w:r>
    </w:p>
    <w:p w:rsidR="00A346F2" w:rsidRPr="003A3ED8" w:rsidRDefault="00A346F2" w:rsidP="003A3ED8">
      <w:pPr>
        <w:pStyle w:val="ListParagraph"/>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 xml:space="preserve"> Персонал лікувального закладу зобов'язаний утримувати своє робоче місце в чистоті і порядку. Справність робочого обладнання, техніки та інших пристроїв повинна постійно перевірятися. </w:t>
      </w:r>
    </w:p>
    <w:p w:rsidR="00A346F2" w:rsidRDefault="00A346F2" w:rsidP="003A3ED8">
      <w:pPr>
        <w:pStyle w:val="ListParagraph"/>
        <w:numPr>
          <w:ilvl w:val="0"/>
          <w:numId w:val="4"/>
        </w:numPr>
        <w:shd w:val="clear" w:color="auto" w:fill="FFFFFF"/>
        <w:spacing w:beforeAutospacing="0" w:after="0"/>
        <w:jc w:val="both"/>
        <w:rPr>
          <w:rFonts w:ascii="Times New Roman" w:hAnsi="Times New Roman"/>
          <w:color w:val="000000"/>
          <w:sz w:val="28"/>
          <w:szCs w:val="28"/>
          <w:lang w:eastAsia="ru-RU"/>
        </w:rPr>
      </w:pPr>
      <w:r w:rsidRPr="003A3ED8">
        <w:rPr>
          <w:rFonts w:ascii="Times New Roman" w:hAnsi="Times New Roman"/>
          <w:color w:val="000000"/>
          <w:sz w:val="28"/>
          <w:szCs w:val="28"/>
          <w:lang w:eastAsia="ru-RU"/>
        </w:rPr>
        <w:t xml:space="preserve"> Керівник інформується про необхідність заміни засобів індивідуального захисту в разі виявлення їх непридатності , а також про вихід з ладу медичного обладнання, технічних пристроїв і освітлення.</w:t>
      </w:r>
    </w:p>
    <w:p w:rsidR="00A346F2" w:rsidRPr="007F0A52" w:rsidRDefault="00A346F2" w:rsidP="007F0A52">
      <w:pPr>
        <w:shd w:val="clear" w:color="auto" w:fill="FFFFFF"/>
        <w:spacing w:beforeAutospacing="0" w:after="0"/>
        <w:ind w:left="360"/>
        <w:jc w:val="both"/>
        <w:rPr>
          <w:rFonts w:ascii="Times New Roman" w:hAnsi="Times New Roman"/>
          <w:color w:val="000000"/>
          <w:sz w:val="28"/>
          <w:szCs w:val="28"/>
          <w:lang w:eastAsia="ru-RU"/>
        </w:rPr>
      </w:pPr>
    </w:p>
    <w:p w:rsidR="00A346F2"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Заходи щодо реалізації Програми зазначені у додатку 1.</w:t>
      </w:r>
    </w:p>
    <w:p w:rsidR="00A346F2" w:rsidRPr="003A3ED8" w:rsidRDefault="00A346F2" w:rsidP="003A3ED8">
      <w:pPr>
        <w:spacing w:beforeAutospacing="0" w:after="0"/>
        <w:ind w:firstLine="426"/>
        <w:rPr>
          <w:rFonts w:ascii="Times New Roman" w:hAnsi="Times New Roman"/>
          <w:color w:val="000000"/>
          <w:sz w:val="28"/>
          <w:szCs w:val="28"/>
        </w:rPr>
      </w:pP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Фінансування виконання заходів Програми буде здійснюватися за рахунок коштів районного бюджету, у межах видатків, що передбачатимуться головним розпорядником коштів на виконання Програми інфекційного контролю, а також інших джерел фінансування, незаборонених чинним законодавством України.</w:t>
      </w:r>
    </w:p>
    <w:p w:rsidR="00A346F2"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xml:space="preserve">   Обсяги бюджетних асигнувань визначатимуться, виходячи з необхідності забезпечення виконання у відповідних роках конкретних заходів Програми, орієнтовних витрат на їх реалізацію, обрахованих на підставі встановлених норм та нормативів, прогнозованих цін та тарифів з урахуванням індексу росту споживчих цін тощо, а також з урахуванням можливостей дохідної частини районного бюджету та спрямування на вказані цілі інших коштів, не заборонених чинним законодавством України.</w:t>
      </w:r>
    </w:p>
    <w:p w:rsidR="00A346F2" w:rsidRPr="003A3ED8" w:rsidRDefault="00A346F2" w:rsidP="003A3ED8">
      <w:pPr>
        <w:spacing w:beforeAutospacing="0" w:after="0"/>
        <w:ind w:firstLine="426"/>
        <w:rPr>
          <w:rFonts w:ascii="Times New Roman" w:hAnsi="Times New Roman"/>
          <w:color w:val="000000"/>
          <w:sz w:val="28"/>
          <w:szCs w:val="28"/>
        </w:rPr>
      </w:pPr>
    </w:p>
    <w:p w:rsidR="00A346F2" w:rsidRPr="003A3ED8" w:rsidRDefault="00A346F2" w:rsidP="003A3ED8">
      <w:pPr>
        <w:spacing w:beforeAutospacing="0" w:after="0"/>
        <w:ind w:firstLine="426"/>
        <w:rPr>
          <w:rFonts w:ascii="Times New Roman" w:hAnsi="Times New Roman"/>
          <w:b/>
          <w:color w:val="000000"/>
          <w:sz w:val="28"/>
          <w:szCs w:val="28"/>
        </w:rPr>
      </w:pPr>
      <w:r w:rsidRPr="003A3ED8">
        <w:rPr>
          <w:rFonts w:ascii="Times New Roman" w:hAnsi="Times New Roman"/>
          <w:color w:val="000000"/>
          <w:sz w:val="28"/>
          <w:szCs w:val="28"/>
        </w:rPr>
        <w:t xml:space="preserve">                      </w:t>
      </w:r>
      <w:r w:rsidRPr="003A3ED8">
        <w:rPr>
          <w:rFonts w:ascii="Times New Roman" w:hAnsi="Times New Roman"/>
          <w:b/>
          <w:color w:val="000000"/>
          <w:sz w:val="28"/>
          <w:szCs w:val="28"/>
        </w:rPr>
        <w:t>V. Організація контролю за виконанням Програми</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xml:space="preserve">   Контроль за виконанням Програми здійснюється районною радою та районною державною адміністрацією.</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Основними формами контролю за реалізацією заходів та досягненням показників Програми будуть:</w:t>
      </w:r>
    </w:p>
    <w:p w:rsidR="00A346F2" w:rsidRPr="003A3ED8" w:rsidRDefault="00A346F2" w:rsidP="003A3ED8">
      <w:pPr>
        <w:pStyle w:val="ListParagraph"/>
        <w:numPr>
          <w:ilvl w:val="0"/>
          <w:numId w:val="1"/>
        </w:num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здійснення аналізу ходу виконання Програми;</w:t>
      </w:r>
    </w:p>
    <w:p w:rsidR="00A346F2" w:rsidRPr="003A3ED8" w:rsidRDefault="00A346F2" w:rsidP="003A3ED8">
      <w:pPr>
        <w:pStyle w:val="ListParagraph"/>
        <w:numPr>
          <w:ilvl w:val="0"/>
          <w:numId w:val="1"/>
        </w:num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залучення відповідних структурних підрозділів районної державної адміністрації та засобів масової інформації для висвітлення ходу реалізації Програми;</w:t>
      </w:r>
    </w:p>
    <w:p w:rsidR="00A346F2" w:rsidRDefault="00A346F2" w:rsidP="00E23439">
      <w:pPr>
        <w:pStyle w:val="ListParagraph"/>
        <w:numPr>
          <w:ilvl w:val="0"/>
          <w:numId w:val="1"/>
        </w:num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обговорення стану та проблем реалізації Програми на засіданнях колегії районної державної адміністрації, сесії районної ради, засіданнях постійної комісії районної ради;</w:t>
      </w:r>
    </w:p>
    <w:p w:rsidR="00A346F2" w:rsidRPr="003A3ED8" w:rsidRDefault="00A346F2" w:rsidP="00E23439">
      <w:pPr>
        <w:pStyle w:val="ListParagraph"/>
        <w:numPr>
          <w:ilvl w:val="0"/>
          <w:numId w:val="1"/>
        </w:num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 xml:space="preserve">проведення моніторингу та надання узагальненої  звітності про хід реалізації Програми керівництву районної державної адміністрації та районної ради.       </w:t>
      </w:r>
    </w:p>
    <w:p w:rsidR="00A346F2" w:rsidRPr="003A3ED8" w:rsidRDefault="00A346F2" w:rsidP="003A3ED8">
      <w:pPr>
        <w:spacing w:beforeAutospacing="0" w:after="0"/>
        <w:ind w:firstLine="426"/>
        <w:rPr>
          <w:rFonts w:ascii="Times New Roman" w:hAnsi="Times New Roman"/>
          <w:color w:val="000000"/>
          <w:sz w:val="28"/>
          <w:szCs w:val="28"/>
        </w:rPr>
      </w:pPr>
      <w:r w:rsidRPr="003A3ED8">
        <w:rPr>
          <w:rFonts w:ascii="Times New Roman" w:hAnsi="Times New Roman"/>
          <w:color w:val="000000"/>
          <w:sz w:val="28"/>
          <w:szCs w:val="28"/>
        </w:rPr>
        <w:t>Організаційне супроводження виконання Програми на 202</w:t>
      </w:r>
      <w:r>
        <w:rPr>
          <w:rFonts w:ascii="Times New Roman" w:hAnsi="Times New Roman"/>
          <w:color w:val="000000"/>
          <w:sz w:val="28"/>
          <w:szCs w:val="28"/>
        </w:rPr>
        <w:t>1</w:t>
      </w:r>
      <w:r w:rsidRPr="003A3ED8">
        <w:rPr>
          <w:rFonts w:ascii="Times New Roman" w:hAnsi="Times New Roman"/>
          <w:color w:val="000000"/>
          <w:sz w:val="28"/>
          <w:szCs w:val="28"/>
        </w:rPr>
        <w:t>- 202</w:t>
      </w:r>
      <w:r>
        <w:rPr>
          <w:rFonts w:ascii="Times New Roman" w:hAnsi="Times New Roman"/>
          <w:color w:val="000000"/>
          <w:sz w:val="28"/>
          <w:szCs w:val="28"/>
        </w:rPr>
        <w:t>4</w:t>
      </w:r>
      <w:r w:rsidRPr="003A3ED8">
        <w:rPr>
          <w:rFonts w:ascii="Times New Roman" w:hAnsi="Times New Roman"/>
          <w:color w:val="000000"/>
          <w:sz w:val="28"/>
          <w:szCs w:val="28"/>
        </w:rPr>
        <w:t xml:space="preserve"> роки здійснюватиме КП « Ц</w:t>
      </w:r>
      <w:r>
        <w:rPr>
          <w:rFonts w:ascii="Times New Roman" w:hAnsi="Times New Roman"/>
          <w:color w:val="000000"/>
          <w:sz w:val="28"/>
          <w:szCs w:val="28"/>
        </w:rPr>
        <w:t>ентр</w:t>
      </w:r>
      <w:r w:rsidRPr="003A3ED8">
        <w:rPr>
          <w:rFonts w:ascii="Times New Roman" w:hAnsi="Times New Roman"/>
          <w:color w:val="000000"/>
          <w:sz w:val="28"/>
          <w:szCs w:val="28"/>
        </w:rPr>
        <w:t xml:space="preserve"> ПМСД</w:t>
      </w:r>
      <w:r>
        <w:rPr>
          <w:rFonts w:ascii="Times New Roman" w:hAnsi="Times New Roman"/>
          <w:color w:val="000000"/>
          <w:sz w:val="28"/>
          <w:szCs w:val="28"/>
        </w:rPr>
        <w:t xml:space="preserve"> Самгородоцької СР</w:t>
      </w:r>
      <w:r w:rsidRPr="003A3ED8">
        <w:rPr>
          <w:rFonts w:ascii="Times New Roman" w:hAnsi="Times New Roman"/>
          <w:color w:val="000000"/>
          <w:sz w:val="28"/>
          <w:szCs w:val="28"/>
        </w:rPr>
        <w:t>».</w:t>
      </w:r>
    </w:p>
    <w:p w:rsidR="00A346F2" w:rsidRPr="008334DA" w:rsidRDefault="00A346F2" w:rsidP="003A3ED8">
      <w:pPr>
        <w:spacing w:beforeAutospacing="0" w:after="0"/>
        <w:ind w:firstLine="426"/>
        <w:rPr>
          <w:rFonts w:ascii="Times New Roman" w:hAnsi="Times New Roman"/>
          <w:sz w:val="28"/>
          <w:szCs w:val="28"/>
        </w:rPr>
      </w:pPr>
    </w:p>
    <w:p w:rsidR="00A346F2" w:rsidRDefault="00A346F2" w:rsidP="00C64C12">
      <w:pPr>
        <w:jc w:val="center"/>
        <w:rPr>
          <w:rFonts w:ascii="Times New Roman" w:hAnsi="Times New Roman"/>
          <w:sz w:val="28"/>
          <w:szCs w:val="28"/>
        </w:rPr>
      </w:pPr>
    </w:p>
    <w:p w:rsidR="00A346F2" w:rsidRDefault="00A346F2" w:rsidP="00F249F9">
      <w:pPr>
        <w:spacing w:before="100"/>
        <w:jc w:val="center"/>
        <w:rPr>
          <w:rFonts w:ascii="Times New Roman" w:hAnsi="Times New Roman"/>
          <w:sz w:val="28"/>
          <w:szCs w:val="28"/>
        </w:rPr>
        <w:sectPr w:rsidR="00A346F2" w:rsidSect="00EF271D">
          <w:footerReference w:type="default" r:id="rId7"/>
          <w:pgSz w:w="11906" w:h="16838"/>
          <w:pgMar w:top="426" w:right="707" w:bottom="426" w:left="1134" w:header="0" w:footer="0" w:gutter="0"/>
          <w:cols w:space="708"/>
          <w:docGrid w:linePitch="360"/>
        </w:sectPr>
      </w:pPr>
    </w:p>
    <w:p w:rsidR="00A346F2" w:rsidRPr="00731E04" w:rsidRDefault="00A346F2" w:rsidP="001C1344">
      <w:pPr>
        <w:jc w:val="right"/>
        <w:rPr>
          <w:rFonts w:ascii="Times New Roman" w:hAnsi="Times New Roman"/>
          <w:sz w:val="28"/>
          <w:szCs w:val="28"/>
        </w:rPr>
      </w:pPr>
      <w:bookmarkStart w:id="0" w:name="_GoBack"/>
      <w:bookmarkEnd w:id="0"/>
    </w:p>
    <w:sectPr w:rsidR="00A346F2" w:rsidRPr="00731E04" w:rsidSect="00EF271D">
      <w:pgSz w:w="16838" w:h="11906" w:orient="landscape"/>
      <w:pgMar w:top="567" w:right="284" w:bottom="424" w:left="28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6F2" w:rsidRDefault="00A346F2" w:rsidP="008334DA">
      <w:pPr>
        <w:spacing w:after="0"/>
      </w:pPr>
      <w:r>
        <w:separator/>
      </w:r>
    </w:p>
  </w:endnote>
  <w:endnote w:type="continuationSeparator" w:id="0">
    <w:p w:rsidR="00A346F2" w:rsidRDefault="00A346F2" w:rsidP="008334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F2" w:rsidRDefault="00A346F2">
    <w:pPr>
      <w:pStyle w:val="Footer"/>
      <w:jc w:val="right"/>
    </w:pPr>
    <w:fldSimple w:instr="PAGE   \* MERGEFORMAT">
      <w:r w:rsidRPr="00B52F72">
        <w:rPr>
          <w:noProof/>
          <w:lang w:val="ru-RU"/>
        </w:rPr>
        <w:t>2</w:t>
      </w:r>
    </w:fldSimple>
  </w:p>
  <w:p w:rsidR="00A346F2" w:rsidRDefault="00A34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6F2" w:rsidRDefault="00A346F2" w:rsidP="008334DA">
      <w:pPr>
        <w:spacing w:after="0"/>
      </w:pPr>
      <w:r>
        <w:separator/>
      </w:r>
    </w:p>
  </w:footnote>
  <w:footnote w:type="continuationSeparator" w:id="0">
    <w:p w:rsidR="00A346F2" w:rsidRDefault="00A346F2" w:rsidP="008334D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90DB9"/>
    <w:multiLevelType w:val="multilevel"/>
    <w:tmpl w:val="428ED6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123104A"/>
    <w:multiLevelType w:val="hybridMultilevel"/>
    <w:tmpl w:val="62F4B9CC"/>
    <w:lvl w:ilvl="0" w:tplc="CFEAFEC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37548C"/>
    <w:multiLevelType w:val="multilevel"/>
    <w:tmpl w:val="A692E1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B7229DB"/>
    <w:multiLevelType w:val="multilevel"/>
    <w:tmpl w:val="BCBC12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ED6"/>
    <w:rsid w:val="000168D1"/>
    <w:rsid w:val="00017623"/>
    <w:rsid w:val="000318E7"/>
    <w:rsid w:val="00040807"/>
    <w:rsid w:val="00052F97"/>
    <w:rsid w:val="00082D31"/>
    <w:rsid w:val="0008303E"/>
    <w:rsid w:val="00084FD8"/>
    <w:rsid w:val="00086D7D"/>
    <w:rsid w:val="0008702F"/>
    <w:rsid w:val="000C3491"/>
    <w:rsid w:val="000D2903"/>
    <w:rsid w:val="000D2B7B"/>
    <w:rsid w:val="00104403"/>
    <w:rsid w:val="00116428"/>
    <w:rsid w:val="00130DA6"/>
    <w:rsid w:val="0013790A"/>
    <w:rsid w:val="0016521A"/>
    <w:rsid w:val="001C1344"/>
    <w:rsid w:val="001E3BC4"/>
    <w:rsid w:val="001F06B5"/>
    <w:rsid w:val="00231046"/>
    <w:rsid w:val="0028255A"/>
    <w:rsid w:val="002860D4"/>
    <w:rsid w:val="002904F3"/>
    <w:rsid w:val="002E0E70"/>
    <w:rsid w:val="002E106A"/>
    <w:rsid w:val="002F6F66"/>
    <w:rsid w:val="002F73E3"/>
    <w:rsid w:val="00314285"/>
    <w:rsid w:val="003356A6"/>
    <w:rsid w:val="003A3ED8"/>
    <w:rsid w:val="003B3BBA"/>
    <w:rsid w:val="003B3CAA"/>
    <w:rsid w:val="003B5BFE"/>
    <w:rsid w:val="003B7ED2"/>
    <w:rsid w:val="00402A6D"/>
    <w:rsid w:val="00404974"/>
    <w:rsid w:val="0041026B"/>
    <w:rsid w:val="00412410"/>
    <w:rsid w:val="00431B1E"/>
    <w:rsid w:val="00431D80"/>
    <w:rsid w:val="004371EB"/>
    <w:rsid w:val="0046059E"/>
    <w:rsid w:val="004647E8"/>
    <w:rsid w:val="0047385A"/>
    <w:rsid w:val="004B538A"/>
    <w:rsid w:val="004B7B45"/>
    <w:rsid w:val="004C74ED"/>
    <w:rsid w:val="004C75CE"/>
    <w:rsid w:val="00500ED6"/>
    <w:rsid w:val="005309C7"/>
    <w:rsid w:val="00563986"/>
    <w:rsid w:val="00570C58"/>
    <w:rsid w:val="00585641"/>
    <w:rsid w:val="005C577C"/>
    <w:rsid w:val="005E2625"/>
    <w:rsid w:val="005E7CBD"/>
    <w:rsid w:val="006023F3"/>
    <w:rsid w:val="00603F82"/>
    <w:rsid w:val="00624018"/>
    <w:rsid w:val="006352A3"/>
    <w:rsid w:val="00673CC4"/>
    <w:rsid w:val="006832AB"/>
    <w:rsid w:val="0069186A"/>
    <w:rsid w:val="00692E94"/>
    <w:rsid w:val="006A7432"/>
    <w:rsid w:val="006C055F"/>
    <w:rsid w:val="006D6018"/>
    <w:rsid w:val="0071113C"/>
    <w:rsid w:val="00717E9C"/>
    <w:rsid w:val="0073048B"/>
    <w:rsid w:val="00731E04"/>
    <w:rsid w:val="0077723F"/>
    <w:rsid w:val="007865CF"/>
    <w:rsid w:val="007A0110"/>
    <w:rsid w:val="007A0C59"/>
    <w:rsid w:val="007A20C6"/>
    <w:rsid w:val="007A490C"/>
    <w:rsid w:val="007B50BA"/>
    <w:rsid w:val="007C3465"/>
    <w:rsid w:val="007F0A52"/>
    <w:rsid w:val="007F693A"/>
    <w:rsid w:val="008334DA"/>
    <w:rsid w:val="00836C9C"/>
    <w:rsid w:val="00855F96"/>
    <w:rsid w:val="00861E76"/>
    <w:rsid w:val="00877A61"/>
    <w:rsid w:val="0088370F"/>
    <w:rsid w:val="00883E0A"/>
    <w:rsid w:val="00890DC4"/>
    <w:rsid w:val="008B3068"/>
    <w:rsid w:val="008B32B3"/>
    <w:rsid w:val="008B3F7A"/>
    <w:rsid w:val="008B487E"/>
    <w:rsid w:val="008E4CCB"/>
    <w:rsid w:val="008F456F"/>
    <w:rsid w:val="00913F98"/>
    <w:rsid w:val="009258C1"/>
    <w:rsid w:val="00935138"/>
    <w:rsid w:val="00951589"/>
    <w:rsid w:val="009558AA"/>
    <w:rsid w:val="00956DDA"/>
    <w:rsid w:val="00981012"/>
    <w:rsid w:val="0098333E"/>
    <w:rsid w:val="00995BD2"/>
    <w:rsid w:val="009D1DBC"/>
    <w:rsid w:val="00A346F2"/>
    <w:rsid w:val="00A8757C"/>
    <w:rsid w:val="00A87ED1"/>
    <w:rsid w:val="00AA0322"/>
    <w:rsid w:val="00AD1CA4"/>
    <w:rsid w:val="00AE3B85"/>
    <w:rsid w:val="00B317BA"/>
    <w:rsid w:val="00B51FA1"/>
    <w:rsid w:val="00B52F72"/>
    <w:rsid w:val="00B8698A"/>
    <w:rsid w:val="00B937DB"/>
    <w:rsid w:val="00BA543C"/>
    <w:rsid w:val="00BD2CA3"/>
    <w:rsid w:val="00BE411C"/>
    <w:rsid w:val="00C34D9E"/>
    <w:rsid w:val="00C5137D"/>
    <w:rsid w:val="00C60686"/>
    <w:rsid w:val="00C64C12"/>
    <w:rsid w:val="00D04A07"/>
    <w:rsid w:val="00D15F90"/>
    <w:rsid w:val="00D165C9"/>
    <w:rsid w:val="00D37A08"/>
    <w:rsid w:val="00D44DAB"/>
    <w:rsid w:val="00D45374"/>
    <w:rsid w:val="00D47B1B"/>
    <w:rsid w:val="00D9573E"/>
    <w:rsid w:val="00DE7E4B"/>
    <w:rsid w:val="00DF6681"/>
    <w:rsid w:val="00E20C43"/>
    <w:rsid w:val="00E20EC1"/>
    <w:rsid w:val="00E23439"/>
    <w:rsid w:val="00E24463"/>
    <w:rsid w:val="00E37F09"/>
    <w:rsid w:val="00E532D6"/>
    <w:rsid w:val="00E65CEB"/>
    <w:rsid w:val="00E83896"/>
    <w:rsid w:val="00EB24A9"/>
    <w:rsid w:val="00EB2CBF"/>
    <w:rsid w:val="00EB6BB3"/>
    <w:rsid w:val="00EB7880"/>
    <w:rsid w:val="00ED2903"/>
    <w:rsid w:val="00ED51C9"/>
    <w:rsid w:val="00ED7A90"/>
    <w:rsid w:val="00EF0CA0"/>
    <w:rsid w:val="00EF271D"/>
    <w:rsid w:val="00F00DE9"/>
    <w:rsid w:val="00F249F9"/>
    <w:rsid w:val="00F42AE5"/>
    <w:rsid w:val="00F46F30"/>
    <w:rsid w:val="00FB18B4"/>
    <w:rsid w:val="00FB1C7C"/>
    <w:rsid w:val="00FE4A06"/>
    <w:rsid w:val="00FF7D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BA"/>
    <w:pPr>
      <w:spacing w:beforeAutospacing="1" w:after="80"/>
    </w:pPr>
    <w:rPr>
      <w:lang w:val="uk-UA" w:eastAsia="en-US"/>
    </w:rPr>
  </w:style>
  <w:style w:type="paragraph" w:styleId="Heading2">
    <w:name w:val="heading 2"/>
    <w:basedOn w:val="Normal"/>
    <w:next w:val="Normal"/>
    <w:link w:val="Heading2Char"/>
    <w:uiPriority w:val="99"/>
    <w:qFormat/>
    <w:rsid w:val="007B50BA"/>
    <w:pPr>
      <w:keepNext/>
      <w:spacing w:beforeAutospacing="0" w:after="0"/>
      <w:jc w:val="center"/>
      <w:outlineLvl w:val="1"/>
    </w:pPr>
    <w:rPr>
      <w:rFonts w:ascii="Times New Roman" w:eastAsia="Times New Roman" w:hAnsi="Times New Roman"/>
      <w:b/>
      <w:bCs/>
      <w:sz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50BA"/>
    <w:rPr>
      <w:rFonts w:ascii="Times New Roman" w:hAnsi="Times New Roman" w:cs="Times New Roman"/>
      <w:b/>
      <w:bCs/>
      <w:sz w:val="32"/>
      <w:lang w:val="uk-UA" w:eastAsia="ru-RU"/>
    </w:rPr>
  </w:style>
  <w:style w:type="paragraph" w:styleId="ListParagraph">
    <w:name w:val="List Paragraph"/>
    <w:basedOn w:val="Normal"/>
    <w:uiPriority w:val="99"/>
    <w:qFormat/>
    <w:rsid w:val="00D9573E"/>
    <w:pPr>
      <w:ind w:left="720"/>
      <w:contextualSpacing/>
    </w:pPr>
  </w:style>
  <w:style w:type="table" w:styleId="TableGrid">
    <w:name w:val="Table Grid"/>
    <w:basedOn w:val="TableNormal"/>
    <w:uiPriority w:val="99"/>
    <w:rsid w:val="00731E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34DA"/>
    <w:pPr>
      <w:tabs>
        <w:tab w:val="center" w:pos="4677"/>
        <w:tab w:val="right" w:pos="9355"/>
      </w:tabs>
      <w:spacing w:after="0"/>
    </w:pPr>
  </w:style>
  <w:style w:type="character" w:customStyle="1" w:styleId="HeaderChar">
    <w:name w:val="Header Char"/>
    <w:basedOn w:val="DefaultParagraphFont"/>
    <w:link w:val="Header"/>
    <w:uiPriority w:val="99"/>
    <w:locked/>
    <w:rsid w:val="008334DA"/>
    <w:rPr>
      <w:rFonts w:ascii="Calibri" w:hAnsi="Calibri" w:cs="Times New Roman"/>
      <w:lang w:val="uk-UA"/>
    </w:rPr>
  </w:style>
  <w:style w:type="paragraph" w:styleId="Footer">
    <w:name w:val="footer"/>
    <w:basedOn w:val="Normal"/>
    <w:link w:val="FooterChar"/>
    <w:uiPriority w:val="99"/>
    <w:rsid w:val="008334DA"/>
    <w:pPr>
      <w:tabs>
        <w:tab w:val="center" w:pos="4677"/>
        <w:tab w:val="right" w:pos="9355"/>
      </w:tabs>
      <w:spacing w:after="0"/>
    </w:pPr>
  </w:style>
  <w:style w:type="character" w:customStyle="1" w:styleId="FooterChar">
    <w:name w:val="Footer Char"/>
    <w:basedOn w:val="DefaultParagraphFont"/>
    <w:link w:val="Footer"/>
    <w:uiPriority w:val="99"/>
    <w:locked/>
    <w:rsid w:val="008334DA"/>
    <w:rPr>
      <w:rFonts w:ascii="Calibri" w:hAnsi="Calibri" w:cs="Times New Roman"/>
      <w:lang w:val="uk-UA"/>
    </w:rPr>
  </w:style>
  <w:style w:type="paragraph" w:styleId="NoSpacing">
    <w:name w:val="No Spacing"/>
    <w:uiPriority w:val="99"/>
    <w:qFormat/>
    <w:rsid w:val="003A3ED8"/>
    <w:pPr>
      <w:spacing w:beforeAutospacing="1"/>
    </w:pPr>
    <w:rPr>
      <w:lang w:val="uk-UA" w:eastAsia="en-US"/>
    </w:rPr>
  </w:style>
  <w:style w:type="paragraph" w:styleId="BalloonText">
    <w:name w:val="Balloon Text"/>
    <w:basedOn w:val="Normal"/>
    <w:link w:val="BalloonTextChar"/>
    <w:uiPriority w:val="99"/>
    <w:semiHidden/>
    <w:rsid w:val="007F0A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0A52"/>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1585</Words>
  <Characters>9037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програми з інфекційного контролю  та дотримання заходів                                                                  </dc:title>
  <dc:subject/>
  <dc:creator>anykey</dc:creator>
  <cp:keywords/>
  <dc:description/>
  <cp:lastModifiedBy>User</cp:lastModifiedBy>
  <cp:revision>2</cp:revision>
  <cp:lastPrinted>2020-06-09T06:41:00Z</cp:lastPrinted>
  <dcterms:created xsi:type="dcterms:W3CDTF">2021-04-22T08:57:00Z</dcterms:created>
  <dcterms:modified xsi:type="dcterms:W3CDTF">2021-04-22T08:57:00Z</dcterms:modified>
</cp:coreProperties>
</file>